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09" w:rsidRPr="00796990" w:rsidRDefault="007E5E09" w:rsidP="007E5E09">
      <w:pPr>
        <w:pStyle w:val="s30eec3f8"/>
        <w:spacing w:before="120" w:beforeAutospacing="0" w:after="120" w:afterAutospacing="0"/>
        <w:ind w:firstLine="284"/>
        <w:jc w:val="both"/>
        <w:rPr>
          <w:rFonts w:asciiTheme="majorHAnsi" w:hAnsiTheme="majorHAnsi" w:cs="Verdana"/>
          <w:b/>
          <w:lang w:val="cs-CZ"/>
        </w:rPr>
      </w:pPr>
      <w:proofErr w:type="spellStart"/>
      <w:r w:rsidRPr="00796990">
        <w:rPr>
          <w:rFonts w:asciiTheme="majorHAnsi" w:hAnsiTheme="majorHAnsi" w:cs="Verdana"/>
          <w:b/>
          <w:lang w:val="cs-CZ"/>
        </w:rPr>
        <w:t>Jaloud</w:t>
      </w:r>
      <w:proofErr w:type="spellEnd"/>
      <w:r w:rsidRPr="00796990">
        <w:rPr>
          <w:rFonts w:asciiTheme="majorHAnsi" w:hAnsiTheme="majorHAnsi" w:cs="Verdana"/>
          <w:b/>
          <w:lang w:val="cs-CZ"/>
        </w:rPr>
        <w:t xml:space="preserve"> proti Nizozemí (č. 47709/08)</w:t>
      </w:r>
    </w:p>
    <w:p w:rsidR="007E5E09" w:rsidRPr="00796990" w:rsidRDefault="007E5E09" w:rsidP="007E5E09">
      <w:pPr>
        <w:pStyle w:val="s30eec3f8"/>
        <w:spacing w:before="120" w:beforeAutospacing="0" w:after="120" w:afterAutospacing="0"/>
        <w:ind w:firstLine="284"/>
        <w:jc w:val="both"/>
        <w:rPr>
          <w:rFonts w:asciiTheme="majorHAnsi" w:hAnsiTheme="majorHAnsi" w:cs="Verdana"/>
          <w:b/>
          <w:lang w:val="cs-CZ"/>
        </w:rPr>
      </w:pPr>
      <w:r w:rsidRPr="00796990">
        <w:rPr>
          <w:rFonts w:asciiTheme="majorHAnsi" w:hAnsiTheme="majorHAnsi" w:cs="Verdana"/>
          <w:b/>
          <w:lang w:val="cs-CZ"/>
        </w:rPr>
        <w:t>Jednání velkého senátu 19. února 2014</w:t>
      </w:r>
    </w:p>
    <w:p w:rsidR="007E5E09" w:rsidRPr="00796990" w:rsidRDefault="007E5E09" w:rsidP="007E5E09">
      <w:pPr>
        <w:pStyle w:val="s30eec3f8"/>
        <w:spacing w:before="120" w:beforeAutospacing="0" w:after="120" w:afterAutospacing="0"/>
        <w:ind w:firstLine="284"/>
        <w:jc w:val="both"/>
        <w:rPr>
          <w:rFonts w:asciiTheme="majorHAnsi" w:hAnsiTheme="majorHAnsi" w:cs="Calibri"/>
          <w:lang w:val="cs-CZ"/>
        </w:rPr>
      </w:pPr>
      <w:r w:rsidRPr="00796990">
        <w:rPr>
          <w:rFonts w:asciiTheme="majorHAnsi" w:hAnsiTheme="majorHAnsi" w:cs="Verdana"/>
          <w:lang w:val="cs-CZ"/>
        </w:rPr>
        <w:t xml:space="preserve">Stížnost se týká vyšetřování nizozemských úřadů okolností smrti syna stěžovatele, iráckého státního příslušníka, který ve věku 29 let podlehl střelným zraněním, která utrpěl v Iráku dne 21. dubna 2004 během přestřelky s příslušníky nizozemských vojenských jednotek. Po invazi amerických vojsk do Iráku v březnu 2003 poskytla nizozemská vláda stabilizačním jednotkám vojenskou pomoc. V letech 2003 až 2005 měly nizozemské vojenské jednotky základnu </w:t>
      </w:r>
      <w:r w:rsidRPr="00796990">
        <w:rPr>
          <w:rFonts w:asciiTheme="majorHAnsi" w:hAnsiTheme="majorHAnsi" w:cs="Calibri"/>
          <w:lang w:val="cs-CZ"/>
        </w:rPr>
        <w:t>(SFIR) v provincii Al-</w:t>
      </w:r>
      <w:proofErr w:type="spellStart"/>
      <w:r w:rsidRPr="00796990">
        <w:rPr>
          <w:rFonts w:asciiTheme="majorHAnsi" w:hAnsiTheme="majorHAnsi" w:cs="Calibri"/>
          <w:lang w:val="cs-CZ"/>
        </w:rPr>
        <w:t>Muthanna</w:t>
      </w:r>
      <w:proofErr w:type="spellEnd"/>
      <w:r w:rsidRPr="00796990">
        <w:rPr>
          <w:rFonts w:asciiTheme="majorHAnsi" w:hAnsiTheme="majorHAnsi" w:cs="Calibri"/>
          <w:lang w:val="cs-CZ"/>
        </w:rPr>
        <w:t>, na jihovýchodě Iráku. Byly součástí multinárodní divize Jihovýchod, jíž velel britský důstojník. Účast nizozemských vojenských jednotek se řídila protokolem o dohodě mezi Spojeným královstvím a Nizozemím, ke kterému byly připojena pravidla o zahájení střelby. Tyto dokumenty byly klasifikovány jako tajné.</w:t>
      </w:r>
    </w:p>
    <w:p w:rsidR="007E5E09" w:rsidRPr="00796990" w:rsidRDefault="007E5E09" w:rsidP="007E5E09">
      <w:pPr>
        <w:pStyle w:val="s30eec3f8"/>
        <w:spacing w:before="120" w:beforeAutospacing="0" w:after="120" w:afterAutospacing="0"/>
        <w:ind w:firstLine="284"/>
        <w:jc w:val="both"/>
        <w:rPr>
          <w:rFonts w:asciiTheme="majorHAnsi" w:hAnsiTheme="majorHAnsi" w:cs="Calibri"/>
          <w:lang w:val="cs-CZ"/>
        </w:rPr>
      </w:pPr>
      <w:r w:rsidRPr="00796990">
        <w:rPr>
          <w:rFonts w:asciiTheme="majorHAnsi" w:hAnsiTheme="majorHAnsi" w:cs="Calibri"/>
          <w:lang w:val="cs-CZ"/>
        </w:rPr>
        <w:t xml:space="preserve">Dne 21. dubna 2004 okolo 2 hodin a 30 minut ráno hlídka šesti nizozemských vojáků pod vedením poručíka A. dorazila na kontrolní stanoviště vojenských vozidel B-13, které se nacházelo na hlavní zásobovací silnici « Jackson » na severu od města Ar </w:t>
      </w:r>
      <w:proofErr w:type="spellStart"/>
      <w:r w:rsidRPr="00796990">
        <w:rPr>
          <w:rFonts w:asciiTheme="majorHAnsi" w:hAnsiTheme="majorHAnsi" w:cs="Calibri"/>
          <w:lang w:val="cs-CZ"/>
        </w:rPr>
        <w:t>Rumaytah</w:t>
      </w:r>
      <w:proofErr w:type="spellEnd"/>
      <w:r w:rsidRPr="00796990">
        <w:rPr>
          <w:rFonts w:asciiTheme="majorHAnsi" w:hAnsiTheme="majorHAnsi" w:cs="Calibri"/>
          <w:lang w:val="cs-CZ"/>
        </w:rPr>
        <w:t xml:space="preserve"> (provincie Al-</w:t>
      </w:r>
      <w:proofErr w:type="spellStart"/>
      <w:r w:rsidRPr="00796990">
        <w:rPr>
          <w:rFonts w:asciiTheme="majorHAnsi" w:hAnsiTheme="majorHAnsi" w:cs="Calibri"/>
          <w:lang w:val="cs-CZ"/>
        </w:rPr>
        <w:t>Muthanna</w:t>
      </w:r>
      <w:proofErr w:type="spellEnd"/>
      <w:r w:rsidRPr="00796990">
        <w:rPr>
          <w:rFonts w:asciiTheme="majorHAnsi" w:hAnsiTheme="majorHAnsi" w:cs="Calibri"/>
          <w:lang w:val="cs-CZ"/>
        </w:rPr>
        <w:t>). Všichni, kteří se na stanovišti nacházeli, byli členy irácké domobrany. Velitel stanoviště, četař H. S., též příslušník domobrany, Holanďany povolal po « přestřelce za volantem », ke které došlo ve 2 hodiny 12 minut. Během této epizody se ke kontrolnímu stanovišti přibližovalo vozidlo, zpomalilo a otočilo se. Příslušníci</w:t>
      </w:r>
      <w:r>
        <w:rPr>
          <w:rFonts w:asciiTheme="majorHAnsi" w:hAnsiTheme="majorHAnsi" w:cs="Calibri"/>
          <w:lang w:val="cs-CZ"/>
        </w:rPr>
        <w:t xml:space="preserve"> občanské domobrany, kteří</w:t>
      </w:r>
      <w:r w:rsidRPr="00796990">
        <w:rPr>
          <w:rFonts w:asciiTheme="majorHAnsi" w:hAnsiTheme="majorHAnsi" w:cs="Calibri"/>
          <w:lang w:val="cs-CZ"/>
        </w:rPr>
        <w:t xml:space="preserve"> stanoviště hlídal</w:t>
      </w:r>
      <w:r>
        <w:rPr>
          <w:rFonts w:asciiTheme="majorHAnsi" w:hAnsiTheme="majorHAnsi" w:cs="Calibri"/>
          <w:lang w:val="cs-CZ"/>
        </w:rPr>
        <w:t>i</w:t>
      </w:r>
      <w:r w:rsidRPr="00796990">
        <w:rPr>
          <w:rFonts w:asciiTheme="majorHAnsi" w:hAnsiTheme="majorHAnsi" w:cs="Calibri"/>
          <w:lang w:val="cs-CZ"/>
        </w:rPr>
        <w:t>, odpověděl</w:t>
      </w:r>
      <w:r>
        <w:rPr>
          <w:rFonts w:asciiTheme="majorHAnsi" w:hAnsiTheme="majorHAnsi" w:cs="Calibri"/>
          <w:lang w:val="cs-CZ"/>
        </w:rPr>
        <w:t>i</w:t>
      </w:r>
      <w:r w:rsidRPr="00796990">
        <w:rPr>
          <w:rFonts w:asciiTheme="majorHAnsi" w:hAnsiTheme="majorHAnsi" w:cs="Calibri"/>
          <w:lang w:val="cs-CZ"/>
        </w:rPr>
        <w:t xml:space="preserve"> na výstřely. Nikdo však nebyl zraněn a vozidlo odjelo.</w:t>
      </w:r>
    </w:p>
    <w:p w:rsidR="007E5E09" w:rsidRPr="00796990" w:rsidRDefault="007E5E09" w:rsidP="007E5E09">
      <w:pPr>
        <w:pStyle w:val="s30eec3f8"/>
        <w:spacing w:before="120" w:beforeAutospacing="0" w:after="120" w:afterAutospacing="0"/>
        <w:ind w:firstLine="284"/>
        <w:jc w:val="both"/>
        <w:rPr>
          <w:rFonts w:asciiTheme="majorHAnsi" w:hAnsiTheme="majorHAnsi" w:cs="Calibri"/>
          <w:lang w:val="cs-CZ"/>
        </w:rPr>
      </w:pPr>
      <w:r w:rsidRPr="00796990">
        <w:rPr>
          <w:rFonts w:asciiTheme="majorHAnsi" w:hAnsiTheme="majorHAnsi" w:cs="Calibri"/>
          <w:lang w:val="cs-CZ"/>
        </w:rPr>
        <w:t xml:space="preserve">Přibližně čtvrt hodiny po příchodu holandských vojáků se ke kontrolnímu stanovišti velmi rychle přiblížilo černé vozidlo značky Mercedes. Narazilo do sudu umístěného uprostřed silnice jak součást kontrolního stanoviště, ale nezastavilo se. Vojáci na vozidlo vystřelili. Poručík přitom vystřílel 28 nábojů ze samopalu </w:t>
      </w:r>
      <w:proofErr w:type="spellStart"/>
      <w:r w:rsidRPr="00796990">
        <w:rPr>
          <w:rFonts w:asciiTheme="majorHAnsi" w:hAnsiTheme="majorHAnsi" w:cs="Calibri"/>
          <w:lang w:val="cs-CZ"/>
        </w:rPr>
        <w:t>Diemaco</w:t>
      </w:r>
      <w:proofErr w:type="spellEnd"/>
      <w:r w:rsidRPr="00796990">
        <w:rPr>
          <w:rFonts w:asciiTheme="majorHAnsi" w:hAnsiTheme="majorHAnsi" w:cs="Calibri"/>
          <w:lang w:val="cs-CZ"/>
        </w:rPr>
        <w:t xml:space="preserve">. Bylo zároveň možné, že výstřely vycházely od příslušníků domobrany, kteří byli vyzbrojeni samopaly </w:t>
      </w:r>
      <w:proofErr w:type="spellStart"/>
      <w:r w:rsidRPr="00796990">
        <w:rPr>
          <w:rFonts w:asciiTheme="majorHAnsi" w:hAnsiTheme="majorHAnsi" w:cs="Calibri"/>
          <w:lang w:val="cs-CZ"/>
        </w:rPr>
        <w:t>Kalašnikov</w:t>
      </w:r>
      <w:proofErr w:type="spellEnd"/>
      <w:r w:rsidRPr="00796990">
        <w:rPr>
          <w:rFonts w:asciiTheme="majorHAnsi" w:hAnsiTheme="majorHAnsi" w:cs="Calibri"/>
          <w:lang w:val="cs-CZ"/>
        </w:rPr>
        <w:t xml:space="preserve"> AK-47. Řidič posléze zastavil. Syn stěžovatele, který seděl na místě spolujezdce, byl zraněn na několika místech, zejména na hrudníku. Nizozemští vojáci ho z auta vytáhli a pokoušeli se mu poskytnout první pomoc. Zemřel však hodinu po přestřelce. Později téhož rána bylo zahájeno vyšetřování nizozemským námořnictvem. Samopal AK-47 četaře </w:t>
      </w:r>
      <w:proofErr w:type="gramStart"/>
      <w:r w:rsidRPr="00796990">
        <w:rPr>
          <w:rFonts w:asciiTheme="majorHAnsi" w:hAnsiTheme="majorHAnsi" w:cs="Calibri"/>
          <w:lang w:val="cs-CZ"/>
        </w:rPr>
        <w:t>H.S.</w:t>
      </w:r>
      <w:proofErr w:type="gramEnd"/>
      <w:r w:rsidRPr="00796990">
        <w:rPr>
          <w:rFonts w:asciiTheme="majorHAnsi" w:hAnsiTheme="majorHAnsi" w:cs="Calibri"/>
          <w:lang w:val="cs-CZ"/>
        </w:rPr>
        <w:t xml:space="preserve">, samopal </w:t>
      </w:r>
      <w:proofErr w:type="spellStart"/>
      <w:r w:rsidRPr="00796990">
        <w:rPr>
          <w:rFonts w:asciiTheme="majorHAnsi" w:hAnsiTheme="majorHAnsi" w:cs="Calibri"/>
          <w:lang w:val="cs-CZ"/>
        </w:rPr>
        <w:t>Diemaco</w:t>
      </w:r>
      <w:proofErr w:type="spellEnd"/>
      <w:r w:rsidRPr="00796990">
        <w:rPr>
          <w:rFonts w:asciiTheme="majorHAnsi" w:hAnsiTheme="majorHAnsi" w:cs="Calibri"/>
          <w:lang w:val="cs-CZ"/>
        </w:rPr>
        <w:t xml:space="preserve"> poručíka A. a vozidlo Mercedes byly zajištěny. Byla shromážděna svědectví dotčených vojáků a zároveň byla provedena pitva mrtvého muže. Zkoumání vozidla naznačilo, že bylo zasaženo z pravé i z levé strany. Pitva ukázala kovové částečky v trupu mrtvého – úlomky střel, které byly zaslány na analýzu do Bagdádu. Nicméně, nebylo přijato žádné vyšetřovací opatření, které by určilo, ze které zbraně pocházejí.</w:t>
      </w:r>
    </w:p>
    <w:p w:rsidR="007E5E09" w:rsidRPr="00796990" w:rsidRDefault="007E5E09" w:rsidP="007E5E09">
      <w:pPr>
        <w:pStyle w:val="s30eec3f8"/>
        <w:spacing w:before="120" w:beforeAutospacing="0" w:after="120" w:afterAutospacing="0"/>
        <w:ind w:firstLine="284"/>
        <w:jc w:val="both"/>
        <w:rPr>
          <w:rFonts w:asciiTheme="majorHAnsi" w:hAnsiTheme="majorHAnsi" w:cs="Calibri"/>
          <w:lang w:val="cs-CZ"/>
        </w:rPr>
      </w:pPr>
      <w:r w:rsidRPr="00796990">
        <w:rPr>
          <w:rFonts w:asciiTheme="majorHAnsi" w:hAnsiTheme="majorHAnsi" w:cs="Calibri"/>
          <w:lang w:val="cs-CZ"/>
        </w:rPr>
        <w:t xml:space="preserve">Na začátku roku 2007 zástupkyně stěžovatele psala nizozemským úřadům, aby získala informace o tom, zda nizozemští vojáci byli za incident stíháni. Prokurátor jí odpověděl, že poručík A. nebyl určen jako podezřelý a že tedy žádný nizozemský voják nebyl označen za podezřelého. Navíc ze závěru vyplývalo, že syn stěžovatele byl postřelen iráckou zbraní. V říjnu 2007 se zástupkyně stěžovatele obrátila na vojenský senát odvolacího soudu v </w:t>
      </w:r>
      <w:proofErr w:type="spellStart"/>
      <w:r w:rsidRPr="00796990">
        <w:rPr>
          <w:rFonts w:asciiTheme="majorHAnsi" w:hAnsiTheme="majorHAnsi" w:cs="Calibri"/>
          <w:lang w:val="cs-CZ"/>
        </w:rPr>
        <w:t>Arnhemu</w:t>
      </w:r>
      <w:proofErr w:type="spellEnd"/>
      <w:r w:rsidRPr="00796990">
        <w:rPr>
          <w:rFonts w:asciiTheme="majorHAnsi" w:hAnsiTheme="majorHAnsi" w:cs="Calibri"/>
          <w:lang w:val="cs-CZ"/>
        </w:rPr>
        <w:t>, aby zahájilo trestní řízení proti poručíku A. V dubnu 2008 tento soud došel k názoru, že dotčený poručík reagoval na výstřely z druhé strany silnice, neboť se domníval, že jde o nepřátelskou střelbu pocházející z auta. Jednal proto v rámci příkazů, které dostal, a nebylo proto důvodu jej trestně stíhat.</w:t>
      </w:r>
    </w:p>
    <w:p w:rsidR="007E5E09" w:rsidRPr="00796990" w:rsidRDefault="007E5E09" w:rsidP="007E5E09">
      <w:pPr>
        <w:pStyle w:val="s30eec3f8"/>
        <w:spacing w:before="120" w:beforeAutospacing="0" w:after="120" w:afterAutospacing="0"/>
        <w:ind w:firstLine="284"/>
        <w:jc w:val="both"/>
        <w:rPr>
          <w:rFonts w:asciiTheme="majorHAnsi" w:hAnsiTheme="majorHAnsi" w:cs="Verdana"/>
          <w:b/>
          <w:lang w:val="cs-CZ"/>
        </w:rPr>
      </w:pPr>
      <w:r w:rsidRPr="00796990">
        <w:rPr>
          <w:rFonts w:asciiTheme="majorHAnsi" w:hAnsiTheme="majorHAnsi" w:cs="Calibri"/>
          <w:lang w:val="cs-CZ"/>
        </w:rPr>
        <w:lastRenderedPageBreak/>
        <w:t>Před ESLP stěžovatel namítal, že Nizozemí porušilo článek 2 Úmluvy, neboť vyšetřování incidentu nebylo nezávislé a neefektivní.</w:t>
      </w:r>
    </w:p>
    <w:p w:rsidR="00F17F01" w:rsidRDefault="00F17F01">
      <w:bookmarkStart w:id="0" w:name="_GoBack"/>
      <w:bookmarkEnd w:id="0"/>
    </w:p>
    <w:sectPr w:rsidR="00F17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09"/>
    <w:rsid w:val="007E5E09"/>
    <w:rsid w:val="00D76707"/>
    <w:rsid w:val="00F17F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30eec3f8">
    <w:name w:val="s30eec3f8"/>
    <w:basedOn w:val="Normln"/>
    <w:rsid w:val="007E5E09"/>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30eec3f8">
    <w:name w:val="s30eec3f8"/>
    <w:basedOn w:val="Normln"/>
    <w:rsid w:val="007E5E09"/>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3128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1</cp:revision>
  <dcterms:created xsi:type="dcterms:W3CDTF">2014-04-22T08:22:00Z</dcterms:created>
  <dcterms:modified xsi:type="dcterms:W3CDTF">2014-04-22T10:35:00Z</dcterms:modified>
</cp:coreProperties>
</file>