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EC" w:rsidRPr="00045137" w:rsidRDefault="00D214EC" w:rsidP="00D214EC">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r w:rsidRPr="00B73142">
        <w:rPr>
          <w:rFonts w:ascii="Times New Roman" w:eastAsia="Times New Roman" w:hAnsi="Times New Roman" w:cs="Times New Roman"/>
          <w:b/>
          <w:bCs/>
          <w:i/>
          <w:iCs/>
          <w:sz w:val="24"/>
          <w:szCs w:val="24"/>
          <w:lang w:eastAsia="cs-CZ"/>
        </w:rPr>
        <w:t>İBRAHİM GÜRKAN proti Turecku</w:t>
      </w:r>
    </w:p>
    <w:bookmarkEnd w:id="0"/>
    <w:p w:rsidR="00D214EC" w:rsidRPr="00B73142" w:rsidRDefault="00D214EC" w:rsidP="00D214E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sz w:val="24"/>
          <w:szCs w:val="24"/>
          <w:lang w:eastAsia="cs-CZ"/>
        </w:rPr>
        <w:t>Rozsudek z 3. července 2012</w:t>
      </w:r>
    </w:p>
    <w:p w:rsidR="00D214EC" w:rsidRPr="00B73142" w:rsidRDefault="00D214EC" w:rsidP="00D214E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b/>
          <w:bCs/>
          <w:sz w:val="24"/>
          <w:szCs w:val="24"/>
          <w:lang w:eastAsia="cs-CZ"/>
        </w:rPr>
        <w:t xml:space="preserve">Účast vojenského důstojníka ve vojenském soudu. </w:t>
      </w:r>
    </w:p>
    <w:p w:rsidR="00D214EC" w:rsidRPr="00B73142" w:rsidRDefault="00D214EC" w:rsidP="00D214E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sz w:val="24"/>
          <w:szCs w:val="24"/>
          <w:lang w:eastAsia="cs-CZ"/>
        </w:rPr>
        <w:t>V roce 2008 vojenský prokurátor učinil prohlášení proti stěžovateli, který v té době vykonával vojenskou službu u tureckého námořnictva. Podle tvrzení stěžovatele se měl dopustit trestného činu neposlušnosti vůči nadřízenému. Trestní vojenský soud složený z vojenského důstojníka, který neměl žádné právnické vzdělání, a dvou vojenských soudců, shledal stěžovatele vinným a odsoudil ho na dva měsíce a půl odnětí svobody.</w:t>
      </w:r>
    </w:p>
    <w:p w:rsidR="00E10A55" w:rsidRPr="00D214EC" w:rsidRDefault="00D214EC" w:rsidP="00D214E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sz w:val="24"/>
          <w:szCs w:val="24"/>
          <w:lang w:eastAsia="cs-CZ"/>
        </w:rPr>
        <w:t>Soud připomněl, že v roce 2004 odmítl podobnou stížnost, neboť existovala dostatečná ochrana, aby byla zachována nestrannost a nezávislost členů vojenského soudu. Nicméně v roce 2009 turecký Ústavní soud judikoval, že platné vnitrostátní zákonodárství neskýtá dostatečné záruky proti nebezpečí vnějšího nátlaku na členy trestních vojenských soudů. Evropský soud byl tak vyzván, aby svou judikaturu přehodnotil. Vzhledem k tomu, že účast laických soudců není sama o sobě v rozporu s ustanovením článku 6 Úmluvy, Soud vyjádřil názor, že absence právnické kvalifikace neporušuje zásadu nestrannosti a nezávislosti vojenského důstojníka. Nicméně, jakožto aktivní důstojník, zůstane ve službě a bude podroben vojenské disciplíně. Byl určen svými nadřízenými, aby ve vojenském soudu zasedal a neskýtal tak stejné ústavní zásady jako dva zbylí soudci. Vojenský trestní soud, kterým byl stěžovatel odsouzen, neodpovídal požadavkům nezávislosti a nestrannosti tak jak to žádá článek 6 Úmluvy.</w:t>
      </w:r>
    </w:p>
    <w:sectPr w:rsidR="00E10A55" w:rsidRPr="00D21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21"/>
    <w:rsid w:val="00045137"/>
    <w:rsid w:val="0006777B"/>
    <w:rsid w:val="001327B8"/>
    <w:rsid w:val="003F6821"/>
    <w:rsid w:val="00C16514"/>
    <w:rsid w:val="00D214EC"/>
    <w:rsid w:val="00E10A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14E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14E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1293</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2015-03-19T15:14:00Z</dcterms:created>
  <dcterms:modified xsi:type="dcterms:W3CDTF">2015-03-19T15:14:00Z</dcterms:modified>
</cp:coreProperties>
</file>