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41" w:rsidRPr="00D24A91" w:rsidRDefault="002D7541" w:rsidP="002D7541">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D24A91">
        <w:rPr>
          <w:rFonts w:ascii="Times New Roman" w:eastAsia="Times New Roman" w:hAnsi="Times New Roman" w:cs="Times New Roman"/>
          <w:b/>
          <w:bCs/>
          <w:i/>
          <w:iCs/>
          <w:sz w:val="24"/>
          <w:szCs w:val="24"/>
          <w:lang w:eastAsia="cs-CZ"/>
        </w:rPr>
        <w:t>GLIEN proti Německu</w:t>
      </w:r>
      <w:r w:rsidRPr="00D24A91">
        <w:rPr>
          <w:rFonts w:ascii="Times New Roman" w:eastAsia="Times New Roman" w:hAnsi="Times New Roman" w:cs="Times New Roman"/>
          <w:sz w:val="24"/>
          <w:szCs w:val="24"/>
          <w:lang w:eastAsia="cs-CZ"/>
        </w:rPr>
        <w:t xml:space="preserve"> </w:t>
      </w:r>
    </w:p>
    <w:bookmarkEnd w:id="0"/>
    <w:p w:rsidR="002D7541" w:rsidRPr="00D24A91" w:rsidRDefault="002D7541" w:rsidP="002D7541">
      <w:pPr>
        <w:spacing w:before="100" w:beforeAutospacing="1" w:after="100" w:afterAutospacing="1" w:line="240" w:lineRule="auto"/>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 xml:space="preserve">Rozsudek z 28. listopadu 2013 </w:t>
      </w:r>
    </w:p>
    <w:p w:rsidR="002D7541" w:rsidRPr="00D24A91" w:rsidRDefault="002D7541" w:rsidP="002D75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b/>
          <w:bCs/>
          <w:sz w:val="24"/>
          <w:szCs w:val="24"/>
          <w:lang w:eastAsia="cs-CZ"/>
        </w:rPr>
        <w:t>Prodloužení preventivní detence z maximální délky deseti let na neomezenou dobu</w:t>
      </w:r>
      <w:r w:rsidRPr="00D24A91">
        <w:rPr>
          <w:rFonts w:ascii="Times New Roman" w:eastAsia="Times New Roman" w:hAnsi="Times New Roman" w:cs="Times New Roman"/>
          <w:sz w:val="24"/>
          <w:szCs w:val="24"/>
          <w:lang w:eastAsia="cs-CZ"/>
        </w:rPr>
        <w:t xml:space="preserve"> </w:t>
      </w:r>
    </w:p>
    <w:p w:rsidR="002D7541" w:rsidRPr="00D24A91" w:rsidRDefault="002D7541" w:rsidP="002D75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 xml:space="preserve">Po vynesení rozsudku ve věci M. proti Německu a dalších následných rozsudků, německý federální ústavní soud judikoval ve svém rozsudku ze 4. května 2011, že ustanovení o prodlužování preventivního zbavení svobody se zpětnou účinností byly v rozporu s německým základním zákonem. Nadto nařídil, že veškerá ustanovení neslučitelná se základním zákonem zůstanou v platnosti do doby, než nabyde účinnosti nová zákonná úprava, a to nejpozději 31. května 2013. V případě zadržených, jejichž preventivní zbavení svobody bylo nařízeno nebo prodlouženo se zpětnou platností, ústavní soud na vnitrostátních soudech, které dohlížely na výkon trestů odnětí svobody, žádal, aby neprodleně přezkoumaly, zda s ohledem na chování těchto zadržených, bylo vysoce pravděpodobné, že se dopustí nejzávažnějších násilných trestných činů a pokud navíc trpěli duševní poruchou ve smyslu nově přijatého zákona o detenční terapii. Zadržení, kteří do této skupiny osob nespadali, měli být propuštěni nejpozději do konce prosince 2011. </w:t>
      </w:r>
    </w:p>
    <w:p w:rsidR="002D7541" w:rsidRPr="00D24A91" w:rsidRDefault="002D7541" w:rsidP="002D75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 xml:space="preserve">Stěžovatel byl odsouzen v roce 1997 za sexuální zneužívání nezletilého a odsouzen ke čtyřem rokům odnětí svobody. Trestní soud zároveň nařídil jeho preventivní detenci vzhledem k nebezpečí, že se znovu dopustí podobného trestného činu. Jeho preventivní detence začala v roce 2001 a byla pravidelně prodlužována. Na konci maximální desetileté doby, po kterou preventivní detence mohla být nařízena v době, kdy došlo ke spáchání trestných činů, a s ohledem na rozhodnutí ústavního soudu ze 4. května 2011, požádal stěžovatel o své okamžité propuštění. Jeho žádost však byla odmítnuta v září 2011 s tím, že se u něj projevila disociační porucha a znaky pedofilie, které ačkoli nebyly patologické, byly psychickými poruchami ve smyslu zákona o detenční terapii a mohly ovlivnit to, že se stěžovatel znovu dopustí trestného činu. </w:t>
      </w:r>
    </w:p>
    <w:p w:rsidR="002D7541" w:rsidRPr="00D24A91" w:rsidRDefault="002D7541" w:rsidP="002D75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 xml:space="preserve">ESLP judikoval, že stejně jako ve věci M. proti Německu, kde konstatoval porušení článku 7 Úmluvy, preventivní detence stěžovatele byla prodloužena se zpětným účinkem nad maximální možnou dobu povolenou v době spáchání trestného činu. ESLP měl tedy rozhodnout, zda v daném případě prodloužení detence bylo „trestem“ ve smyslu článku 7 Úmluvy. Podle jeho názoru základním prvkem byla skutečnost, že preventivní detence byla uložena po odsouzení za spáchání trestných činů. Pokud šlo o povahu tohoto opatření, nelišila se od klasického trestu odnětí svobody. Byla nařizována soudy, které rozhodovaly o vině a trestu a její výkon byl pod dohledem příslušných soudů. Konečně, pokud šlo o přísnost opatření, ESLP konstatoval, že preventivní detence zde nebyla časově omezena a stěžovatel nemohl být propuštěn na svobodu, ledaže by příslušný soud rozhodl, že nebylo vysoce pravděpodobné, že nespáchá nejzávažnější trestné činy nebo že není psychicky nemocen. Preventivní detence naopak byla ve stěžovatelově případě nejpřísnějším opatřením podle německého trestního zákona a trvalo třikrát tak dlouho než jeho trest odnětí svobody. </w:t>
      </w:r>
    </w:p>
    <w:p w:rsidR="0000714E" w:rsidRPr="002D7541" w:rsidRDefault="002D7541" w:rsidP="002D754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Podle názoru ESLP se tak jednalo o „trest“ ve smyslu článku 7 odst. 1 Úmluvy, který byl tak porušen.</w:t>
      </w:r>
    </w:p>
    <w:sectPr w:rsidR="0000714E" w:rsidRPr="002D7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8A"/>
    <w:rsid w:val="0000714E"/>
    <w:rsid w:val="00151FA3"/>
    <w:rsid w:val="002D7541"/>
    <w:rsid w:val="00577144"/>
    <w:rsid w:val="00AE1C4F"/>
    <w:rsid w:val="00DE0E8A"/>
    <w:rsid w:val="00DF615A"/>
    <w:rsid w:val="00F04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E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771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E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77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2733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2015-04-21T09:19:00Z</dcterms:created>
  <dcterms:modified xsi:type="dcterms:W3CDTF">2015-04-21T09:19:00Z</dcterms:modified>
</cp:coreProperties>
</file>