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74" w:rsidRDefault="008F6074" w:rsidP="008F6074">
      <w:pPr>
        <w:pStyle w:val="Normlnweb"/>
      </w:pPr>
      <w:bookmarkStart w:id="0" w:name="_GoBack"/>
      <w:proofErr w:type="gramStart"/>
      <w:r>
        <w:rPr>
          <w:rStyle w:val="Siln"/>
          <w:i/>
          <w:iCs/>
        </w:rPr>
        <w:t>E.B.</w:t>
      </w:r>
      <w:proofErr w:type="gramEnd"/>
      <w:r>
        <w:rPr>
          <w:rStyle w:val="Siln"/>
          <w:i/>
          <w:iCs/>
        </w:rPr>
        <w:t xml:space="preserve"> A DALŠÍ proti Rakousku</w:t>
      </w:r>
      <w:r>
        <w:t xml:space="preserve"> </w:t>
      </w:r>
    </w:p>
    <w:bookmarkEnd w:id="0"/>
    <w:p w:rsidR="008F6074" w:rsidRDefault="008F6074" w:rsidP="008F6074">
      <w:pPr>
        <w:pStyle w:val="Normlnweb"/>
      </w:pPr>
      <w:r>
        <w:t xml:space="preserve">Rozsudek ze 7. listopadu 2013 </w:t>
      </w:r>
    </w:p>
    <w:p w:rsidR="008F6074" w:rsidRDefault="008F6074" w:rsidP="008F6074">
      <w:pPr>
        <w:pStyle w:val="Normlnweb"/>
        <w:jc w:val="both"/>
      </w:pPr>
      <w:r>
        <w:rPr>
          <w:rStyle w:val="Siln"/>
        </w:rPr>
        <w:t>Odmítnutí provést změnu v rejstříku trestů, přestože Ústavní soud rozhodl, že ustanovení trestního zákona, na jehož základě byli stěžovatelé odsouzeni, bylo protiústavní.</w:t>
      </w:r>
      <w:r>
        <w:t xml:space="preserve"> </w:t>
      </w:r>
    </w:p>
    <w:p w:rsidR="008F6074" w:rsidRDefault="008F6074" w:rsidP="008F6074">
      <w:pPr>
        <w:pStyle w:val="Normlnweb"/>
        <w:jc w:val="both"/>
      </w:pPr>
      <w:r>
        <w:t xml:space="preserve">V letech 1983 a 2001 byli stěžovatelé odsouzeni na základě § 209 trestního zákona, podle kterého byl homosexuální styk mezi dospělými muži a nezletilými ve věku od 14 do 18 let trestným činem. Ustanovení § 209 bylo zrušeno Ústavním soudem v červnu 2002. Stěžovatelé posléze požádali o vymazání svých trestních odsouzení z trestního rejstříku. Jejich žádosti však byly odmítnuty s tím, že federální ministerstvo vnitra k tomuto úkonu nebylo oprávněno. </w:t>
      </w:r>
    </w:p>
    <w:p w:rsidR="008F6074" w:rsidRDefault="008F6074" w:rsidP="008F6074">
      <w:pPr>
        <w:pStyle w:val="Normlnweb"/>
        <w:jc w:val="both"/>
      </w:pPr>
      <w:r>
        <w:t xml:space="preserve">Stěžovatelé se obrátili na ESLP se stížností na porušení článku 8 ve spojení s článkem 14 Úmluvy. Ten judikoval, že informace obsažené v trestním rejstříku těsně souvisí se soukromým životem, i když jsou založeny na rozsudku soudu, který je vyhlášen veřejně. Článek 8 Úmluvy se tedy v dané věci aplikoval. </w:t>
      </w:r>
    </w:p>
    <w:p w:rsidR="007864C0" w:rsidRPr="008F6074" w:rsidRDefault="008F6074" w:rsidP="008F6074">
      <w:pPr>
        <w:pStyle w:val="Normlnweb"/>
        <w:jc w:val="both"/>
      </w:pPr>
      <w:r>
        <w:t>Podle názoru ESLP je zcela běžné, že se ustanovení trestního zákona mění nebo jsou doplňována. Zrušení trestného činu nebo jeho zásadní změna neznamená, že ustanovení, které v minulosti platilo, odpovídalo všem požadavkům ústavnosti. V případě stěžovatelů se však jednalo o jinou situaci. Parlament zrušil § 209 a nahradil ho jiným, zásadně odlišným ustanovením. Nové ustanovení nebylo do trestního zákona vloženo nikoli v rámci obecného procesu přijímání nového trestního zákona v důsledku změn ve společnosti, nýbrž proto, aby bylo zrušeno ustanovení, které odporovalo Ústavě. Tento podstatný aspekt případů stěžovatelů vyžadoval jiný legislativní postup. ESLP judikoval, že ponechání odsouzení stěžovatelů na základě § 209 v trestním rejstříku mohlo mít pro ně vážné důsledky. Došlo tak k porušení článku 8 ve spojení s článkem 14 Úmluvy. Trestnost homosexuálního vztahu mezi ženami totiž podle rakouskéh</w:t>
      </w:r>
      <w:r>
        <w:t>o práva nikdy nebyla zakotvena.</w:t>
      </w:r>
    </w:p>
    <w:sectPr w:rsidR="007864C0" w:rsidRPr="008F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E"/>
    <w:rsid w:val="00267018"/>
    <w:rsid w:val="002C7A83"/>
    <w:rsid w:val="007864C0"/>
    <w:rsid w:val="008F6074"/>
    <w:rsid w:val="00A3080E"/>
    <w:rsid w:val="00A514CE"/>
    <w:rsid w:val="00CE6F68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2015-05-14T13:31:00Z</dcterms:created>
  <dcterms:modified xsi:type="dcterms:W3CDTF">2015-05-14T13:31:00Z</dcterms:modified>
</cp:coreProperties>
</file>