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FD" w:rsidRDefault="00A65FFD" w:rsidP="00A65FFD">
      <w:pPr>
        <w:pStyle w:val="Normlnweb"/>
        <w:jc w:val="both"/>
      </w:pPr>
      <w:bookmarkStart w:id="0" w:name="_GoBack"/>
      <w:r>
        <w:rPr>
          <w:rStyle w:val="Siln"/>
          <w:i/>
          <w:iCs/>
        </w:rPr>
        <w:t>CLIFT proti Spojenému království</w:t>
      </w:r>
      <w:r>
        <w:rPr>
          <w:rStyle w:val="Siln"/>
        </w:rPr>
        <w:t xml:space="preserve"> </w:t>
      </w:r>
    </w:p>
    <w:bookmarkEnd w:id="0"/>
    <w:p w:rsidR="00A65FFD" w:rsidRDefault="00A65FFD" w:rsidP="00A65FFD">
      <w:pPr>
        <w:pStyle w:val="Normlnweb"/>
        <w:jc w:val="both"/>
      </w:pPr>
      <w:r>
        <w:t xml:space="preserve">Rozsudek z 13. července 2010  </w:t>
      </w:r>
    </w:p>
    <w:p w:rsidR="00A65FFD" w:rsidRDefault="00A65FFD" w:rsidP="00A65FFD">
      <w:pPr>
        <w:pStyle w:val="Normlnweb"/>
        <w:jc w:val="both"/>
      </w:pPr>
      <w:r>
        <w:rPr>
          <w:b/>
          <w:bCs/>
        </w:rPr>
        <w:t>Rozdílnost v procesních požadavcích pro předčasné propuštění z výkonu trestu odnětí svobody v závislosti na délce vyměřeného trestu.</w:t>
      </w:r>
      <w:r>
        <w:t xml:space="preserve"> V dubnu 1994 byl stěžovatel odsouzen k trestu odnětí svobody na osmnáct let za spáchání několika vážných trestných činů včetně pokusu o vraždu. V březnu 2002 byl způsobilý být podmínečně propuštěn na svobodu a příslušná propouštěcí komise jeho propuštění doporučila. Podle tehdy platného zákona vězni vykonávající patnáctileté a vyšší tresty odnětí svobody museli kromě doporučení propouštěcí komise obdržet i potvrzení příslušného ministra. Takové potvrzení se však nevyžadovalo od vězňů odsouzených k nižším trestům odnětí svobody. V případě stěžovatele ministr odmítl doporučení propouštěcí komise s tím, že jeho propuštění by bylo nepřiměřeným rizikem pro společnost. Stěžovatel požádal o soudní přezkum rozhodnutím ministra, ale neuspěl. Jeho odvolání ke Sněmovně lordů bylo také zamítnuto, neboť podle jejího názoru rozdíl v jednání nevyplýval ze stěžovatelova „postavení“, a proto se v jeho případě článek 14 Úmluvy neaplikoval. Stěžovatel byl posléze předčasně propuštěn. </w:t>
      </w:r>
    </w:p>
    <w:p w:rsidR="00A65FFD" w:rsidRDefault="00A65FFD" w:rsidP="00A65FFD">
      <w:pPr>
        <w:pStyle w:val="Normlnweb"/>
        <w:jc w:val="both"/>
      </w:pPr>
      <w:r>
        <w:t xml:space="preserve">Soud se nejdříve zabýval otázkou, zda se stěžovatelem bylo nakládáno jiným způsobem na základě „jiného postavení“. Připomněl, že ačkoli ve věci </w:t>
      </w:r>
      <w:proofErr w:type="spellStart"/>
      <w:r>
        <w:rPr>
          <w:i/>
          <w:iCs/>
        </w:rPr>
        <w:t>Gerger</w:t>
      </w:r>
      <w:proofErr w:type="spellEnd"/>
      <w:r>
        <w:rPr>
          <w:i/>
          <w:iCs/>
        </w:rPr>
        <w:t xml:space="preserve"> proti Turecku</w:t>
      </w:r>
      <w:r>
        <w:t xml:space="preserve"> judikoval, že rozdíl v jednání s vězni v souvislosti s jejich podmínečným propouštěním nezakládá jednání na základě „jiného postavení“, neboť se odvíjel od závažnosti trestného činu, který spáchali, stěžovatel v tomto případě tvrdil, že šlo o rozdíl v jednání založeném nikoli na závažnosti trestného činu, ale na postavení vězně vykonávající trest odnětí svobody delšího než patnáct let. I když délka trestu má určitý vztah k závažnosti trestného činu, jsou zde další relevantní faktory včetně hodnotící činnost trestního soudce při zvažování, zda je vězeň nebezpečný pro společnost. Ačkoli propouštěcí systém byl aplikován rozdílně s ohledem na délku vykonávaného trestu, bylo zde nebezpečí, že bude odporovat potřebě zajistit ochranu proti svévolnému věznění. Stěžovatel tak požíval „jiného postavení“ pro potřeby článku 14 Úmluvy. </w:t>
      </w:r>
    </w:p>
    <w:p w:rsidR="00A65FFD" w:rsidRDefault="00A65FFD" w:rsidP="00A65FFD">
      <w:pPr>
        <w:pStyle w:val="Normlnweb"/>
        <w:jc w:val="both"/>
      </w:pPr>
      <w:r>
        <w:t xml:space="preserve">K otázce, zda byl stěžovatel v analogickém postavení v porovnání s jinými vězni, se kterými bylo jednáno příznivěji, Soud podotkl, že rozhodnutí o schválení předčasného propuštění vězně nemělo být dalším trestem, ale odráželo posouzení, zda vězeň je neakceptovatelným rizikem, bude-li propuštěn. Způsob zvažování tohoto rizika byl v zásadě stejný a nebyly zde velké rozdíly mezi jednotlivými vězni, ať už vykonávali trest kratší či delší než 15 let nebo vězni odsouzeni na doživotí. Stěžovatel tak mohl tvrdit, že byl v analogickém postavení vůči těmto vězňům. </w:t>
      </w:r>
    </w:p>
    <w:p w:rsidR="00A65FFD" w:rsidRDefault="00A65FFD" w:rsidP="00A65FFD">
      <w:pPr>
        <w:pStyle w:val="Normlnweb"/>
        <w:jc w:val="both"/>
      </w:pPr>
      <w:r>
        <w:t xml:space="preserve">Soud připomněl, že rozdílnost v jednání mezi jednotlivými skupinami vězňů je odůvodněna, pokud sleduje legitimní cíl ochrany veřejnosti a pokud je prokázáno, že přísnější hodnocení je důsledkem zvažování existence vyššího rizika po propuštění. Podle názoru Soudu různé hodnocení situace vězňů odsouzených na doživotí a těch, kteří byli odsouzeni na dobu delší než patnáct let, nemělo žádné opodstatnění. Pokud šlo o rozdílnost v jednání mezi vězni vykonávající trest kratší či delší než patnáct let, Soud mínil, že taková rozdílnost může být odůvodněna pouze existencí legitimního cíle. V této souvislosti konstatoval, že vláda názorně nepředvedla, jak schválení ministra vyžadované pro jednu skupinu vězňů bylo spojeno s hodnocením existence rizika při propuštění. Předčasný propouštěcí systém, jehož byl stěžovatel objektem, neměl objektivní odůvodnění. </w:t>
      </w:r>
    </w:p>
    <w:p w:rsidR="007864C0" w:rsidRPr="00A65FFD" w:rsidRDefault="00A65FFD" w:rsidP="00A65FFD">
      <w:pPr>
        <w:pStyle w:val="Normlnweb"/>
        <w:jc w:val="both"/>
      </w:pPr>
      <w:r>
        <w:lastRenderedPageBreak/>
        <w:t xml:space="preserve">Porušení </w:t>
      </w:r>
      <w:r>
        <w:t>článku 14 Úmluvy (jednomyslně).</w:t>
      </w:r>
    </w:p>
    <w:sectPr w:rsidR="007864C0" w:rsidRPr="00A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78" w:rsidRDefault="00984A78" w:rsidP="00984A78">
      <w:pPr>
        <w:spacing w:after="0" w:line="240" w:lineRule="auto"/>
      </w:pPr>
      <w:r>
        <w:separator/>
      </w:r>
    </w:p>
  </w:endnote>
  <w:endnote w:type="continuationSeparator" w:id="0">
    <w:p w:rsidR="00984A78" w:rsidRDefault="00984A78" w:rsidP="0098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78" w:rsidRDefault="00984A78" w:rsidP="00984A78">
      <w:pPr>
        <w:spacing w:after="0" w:line="240" w:lineRule="auto"/>
      </w:pPr>
      <w:r>
        <w:separator/>
      </w:r>
    </w:p>
  </w:footnote>
  <w:footnote w:type="continuationSeparator" w:id="0">
    <w:p w:rsidR="00984A78" w:rsidRDefault="00984A78" w:rsidP="0098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8"/>
    <w:rsid w:val="00066EFD"/>
    <w:rsid w:val="001D2746"/>
    <w:rsid w:val="001E773C"/>
    <w:rsid w:val="00330358"/>
    <w:rsid w:val="00611AC0"/>
    <w:rsid w:val="0067638A"/>
    <w:rsid w:val="007068A8"/>
    <w:rsid w:val="007864C0"/>
    <w:rsid w:val="00950272"/>
    <w:rsid w:val="00984A78"/>
    <w:rsid w:val="00A65FFD"/>
    <w:rsid w:val="00AA7ED3"/>
    <w:rsid w:val="00D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A78"/>
  </w:style>
  <w:style w:type="paragraph" w:styleId="Zpat">
    <w:name w:val="footer"/>
    <w:basedOn w:val="Normln"/>
    <w:link w:val="Zpat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A78"/>
  </w:style>
  <w:style w:type="paragraph" w:styleId="Zpat">
    <w:name w:val="footer"/>
    <w:basedOn w:val="Normln"/>
    <w:link w:val="Zpat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8789-3B66-4A91-9E88-6A91BE80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2015-05-14T09:41:00Z</dcterms:created>
  <dcterms:modified xsi:type="dcterms:W3CDTF">2015-05-14T09:41:00Z</dcterms:modified>
</cp:coreProperties>
</file>