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D1" w:rsidRPr="00D24A91" w:rsidRDefault="00B725D1" w:rsidP="00B725D1">
      <w:pPr>
        <w:spacing w:before="100" w:beforeAutospacing="1" w:after="100" w:afterAutospacing="1" w:line="240" w:lineRule="auto"/>
        <w:rPr>
          <w:rFonts w:ascii="Times New Roman" w:eastAsia="Times New Roman" w:hAnsi="Times New Roman" w:cs="Times New Roman"/>
          <w:sz w:val="24"/>
          <w:szCs w:val="24"/>
          <w:lang w:eastAsia="cs-CZ"/>
        </w:rPr>
      </w:pPr>
      <w:bookmarkStart w:id="0" w:name="_GoBack"/>
      <w:r w:rsidRPr="00D24A91">
        <w:rPr>
          <w:rFonts w:ascii="Times New Roman" w:eastAsia="Times New Roman" w:hAnsi="Times New Roman" w:cs="Times New Roman"/>
          <w:b/>
          <w:bCs/>
          <w:i/>
          <w:iCs/>
          <w:sz w:val="24"/>
          <w:szCs w:val="24"/>
          <w:lang w:eastAsia="cs-CZ"/>
        </w:rPr>
        <w:t>ASHLARBA proti Gruzii</w:t>
      </w:r>
      <w:r w:rsidRPr="00D24A91">
        <w:rPr>
          <w:rFonts w:ascii="Times New Roman" w:eastAsia="Times New Roman" w:hAnsi="Times New Roman" w:cs="Times New Roman"/>
          <w:sz w:val="24"/>
          <w:szCs w:val="24"/>
          <w:lang w:eastAsia="cs-CZ"/>
        </w:rPr>
        <w:t xml:space="preserve"> </w:t>
      </w:r>
    </w:p>
    <w:bookmarkEnd w:id="0"/>
    <w:p w:rsidR="00B725D1" w:rsidRPr="00D24A91" w:rsidRDefault="00B725D1" w:rsidP="00B725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 xml:space="preserve">Rozsudek z 15. července 2014 </w:t>
      </w:r>
    </w:p>
    <w:p w:rsidR="00B725D1" w:rsidRPr="00D24A91" w:rsidRDefault="00B725D1" w:rsidP="00B725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b/>
          <w:bCs/>
          <w:sz w:val="24"/>
          <w:szCs w:val="24"/>
          <w:lang w:eastAsia="cs-CZ"/>
        </w:rPr>
        <w:t>V roce 2005 gruzínská legislativa zavedla do trestního práva sérii nových trestných činů, určených k podpoře boje proti organizovanému zločinu.</w:t>
      </w:r>
      <w:r w:rsidRPr="00D24A91">
        <w:rPr>
          <w:rFonts w:ascii="Times New Roman" w:eastAsia="Times New Roman" w:hAnsi="Times New Roman" w:cs="Times New Roman"/>
          <w:sz w:val="24"/>
          <w:szCs w:val="24"/>
          <w:lang w:eastAsia="cs-CZ"/>
        </w:rPr>
        <w:t xml:space="preserve"> Kromě širšího legislativního balíčku § 223 odst. 1 byl trestní zákon novelizován tak, že v budoucnu bude trestným činem i členství v „podsvětí zlodějů“ nebo půjde-li o „zloděje v právu“. I když žádný z těchto termínů nebyl v zákoně přímo definován, byly vysvětleny v jiných legislativních aktech, které byly přijaty ve stejný den (zákon o organizovaném zločinu a vydírání). Dané výrazy byly navíc známy mezi gruzínskou společností. V roce 2007 byl stěžovatel odsouzen za členství v „podsvětí zlodějů“ k trestu odnětí svobody v délce sedmi let. </w:t>
      </w:r>
    </w:p>
    <w:p w:rsidR="00B725D1" w:rsidRPr="00D24A91" w:rsidRDefault="00B725D1" w:rsidP="00B725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 xml:space="preserve">Ve své stížnosti k ESLP namítal, ve smyslu článku 7 Úmluvy, že dotčená ustanovení trestního zákona nebyla dostatečně přesná nebo předvídatelná, aby byl schopen vědět, jaké chování bylo trestným činem. </w:t>
      </w:r>
    </w:p>
    <w:p w:rsidR="00B725D1" w:rsidRPr="00D24A91" w:rsidRDefault="00B725D1" w:rsidP="00B725D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24A91">
        <w:rPr>
          <w:rFonts w:ascii="Times New Roman" w:eastAsia="Times New Roman" w:hAnsi="Times New Roman" w:cs="Times New Roman"/>
          <w:sz w:val="24"/>
          <w:szCs w:val="24"/>
          <w:lang w:eastAsia="cs-CZ"/>
        </w:rPr>
        <w:t xml:space="preserve">ESLP připomněl, že článek 7 odst. 1 Úmluvy vyžaduje, aby trestný čin a trest byl definován v zákoně. Jednotlivci musí být schopni vědět ze znění daného ustanovení, jaké jednání a opomenutí mohou zakládat jejich trestní odpovědnost. Stěžovatel byl odsouzen podle ustanovení § 223 odst. 1 trestního zákona za členství v „podsvětí zlodějů“, termín, který v trestním zákoně nebyl definován. ESLP podotkl nicméně, že způsob, jakým chápala gruzínskou společnost „podsvětí zlodějů“, se netýkal pouze vězeňského sektoru, ale je rozšířen na širokou veřejnost a zejména na zranitelné členy společnosti jako jsou mladí lidé. Logický základ rozhodnutí přijmout zvláštní zákon týkající se dotčeného prostředí bylo umožnit státu efektivněji v boji proti tyto kriminálním syndikátům, které se dotýkaly nejenom kriminálního podsvětí, ale kontaminovaly též mnoho aspektů běžného veřejného života. Skutečně, studie a argumenty předložené vládou ohledně dopadu „podsvětí zlodějů“ na společnost, dokládaly, že tento kriminální fenomén v ní byl hluboce zakořeněn, a že koncept „podsvětí zlodějů“ a „zloděj v právu“ byly obecně známy a široce známy. V důsledku toho trestné činy zakotvené v § 223 odst. 1 měly pouze kriminalizovaným konceptem, jehož význam byl již velmi dobře znám mezi širokou veřejností. Podle názoru ESLP, gruzínská legislativa užila hovorové termíny pro trestné činy, neboť si přála, aby podstata trestných činů byla pevně přijata snadněji širokou veřejností. </w:t>
      </w:r>
    </w:p>
    <w:p w:rsidR="0000714E" w:rsidRPr="00B725D1" w:rsidRDefault="00B725D1" w:rsidP="00B725D1">
      <w:r w:rsidRPr="00D24A91">
        <w:rPr>
          <w:rFonts w:ascii="Times New Roman" w:eastAsia="Times New Roman" w:hAnsi="Times New Roman" w:cs="Times New Roman"/>
          <w:sz w:val="24"/>
          <w:szCs w:val="24"/>
          <w:lang w:eastAsia="cs-CZ"/>
        </w:rPr>
        <w:t>ESLP neakceptoval, že tento koncept byl stěžovateli zcela cizí, zejména s ohledem na to, co vypověděl během vyšetřování. Pro ESLP bylo důležité, že § 223 odst. 1 trestního zákona byl součástí legislativního balíčku přijatého ve stejný den a který obsahoval zákon o organizované zločinnosti a vydírání. Kapitola 3 tohoto zákona podrobně vysvětlovala definice termínů „podsvětí zlodějů“ a „zloděj v právu“. Ve spojení s tímto zákonem, ustanovení § 223 odst. 1 trestního zákona sdělovalo běžnému čtenáři všechny nezbytné prvky, které tvořily oba trestné činy, které se vztahovaly k fungování „podsvětí zlodějů“. ESLP judikoval, že i když nikoli prostřednictvím veřejné znalosti, tak s odkazem na kapitolu 3 zákona o organizované zločinnosti a vydírání a případně s pomocí odpovídající právní rady, mohl stěžovatel snadno předvídat, jaká činnost by mohla zakládat trestní odpovědnost podle § 223 odst. 1 trestního zákona. K porušení článku 7 Úmluvy proto nedošlo.</w:t>
      </w:r>
    </w:p>
    <w:sectPr w:rsidR="0000714E" w:rsidRPr="00B72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E8A"/>
    <w:rsid w:val="0000714E"/>
    <w:rsid w:val="00151FA3"/>
    <w:rsid w:val="002D7541"/>
    <w:rsid w:val="00577144"/>
    <w:rsid w:val="008542E0"/>
    <w:rsid w:val="00AE1C4F"/>
    <w:rsid w:val="00B725D1"/>
    <w:rsid w:val="00DE0E8A"/>
    <w:rsid w:val="00DF615A"/>
    <w:rsid w:val="00F04E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E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771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E8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577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2877</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2015-04-21T09:22:00Z</dcterms:created>
  <dcterms:modified xsi:type="dcterms:W3CDTF">2015-04-21T09:22:00Z</dcterms:modified>
</cp:coreProperties>
</file>