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3" w:rsidRDefault="00180A73" w:rsidP="00180A73">
      <w:pPr>
        <w:pStyle w:val="Normlnweb"/>
        <w:jc w:val="both"/>
      </w:pPr>
      <w:bookmarkStart w:id="0" w:name="_GoBack"/>
      <w:r>
        <w:rPr>
          <w:rStyle w:val="Siln"/>
          <w:i/>
          <w:iCs/>
        </w:rPr>
        <w:t>AL-SAADOON AND MUFDHI proti Spojenému království</w:t>
      </w:r>
      <w:r>
        <w:t xml:space="preserve"> </w:t>
      </w:r>
    </w:p>
    <w:bookmarkEnd w:id="0"/>
    <w:p w:rsidR="00180A73" w:rsidRDefault="00180A73" w:rsidP="00180A73">
      <w:pPr>
        <w:pStyle w:val="Normlnweb"/>
        <w:jc w:val="both"/>
      </w:pPr>
      <w:r>
        <w:t xml:space="preserve">Rozsudek z 2. března 2010 </w:t>
      </w:r>
    </w:p>
    <w:p w:rsidR="00180A73" w:rsidRDefault="00180A73" w:rsidP="00180A73">
      <w:pPr>
        <w:pStyle w:val="Normlnweb"/>
        <w:jc w:val="both"/>
      </w:pPr>
      <w:r>
        <w:rPr>
          <w:b/>
          <w:bCs/>
        </w:rPr>
        <w:t>Neúčinnost odvolání ke Sněmovně lordů v důsledku vyhoštění zadržených do Iráku před projednáním odvolání.</w:t>
      </w:r>
      <w:r>
        <w:t xml:space="preserve"> Případ se týká vyhoštění dvou iráckých občanů britskými orgány do Iráku přesto, že Soud nařídil Velké Británii formou předběžného opatření podle článku 39 Jednacího řádu, aby stěžovatele nevyhošťovala. </w:t>
      </w:r>
    </w:p>
    <w:p w:rsidR="00180A73" w:rsidRDefault="00180A73" w:rsidP="00180A73">
      <w:pPr>
        <w:pStyle w:val="Normlnweb"/>
        <w:jc w:val="both"/>
      </w:pPr>
      <w:r>
        <w:t xml:space="preserve">Vláda namítala, že v provedení předběžného opatření jí bránily objektivní příčiny, neboť vyhoštění stěžovatelů bylo součástí celé akce pod vedením iráckých orgánů a s ohledem na suverenitu Iráku. Soud však mínil, že Velká Británie byla odpovědná za situaci, ve které se nacházela, když jednak neobdržela závaznou záruku týkající se trestu smrti předtím, než předala případy stěžovatelů iráckým soudům a fyzicky je předala do Iráku, kde byli vzati do vazby, a jednak uzavřela dohodu s jiným státem, která nebyla v souladu se závazky vyplývajícími z Úmluvy zaručit výkon lidských práv stěžovatelů. </w:t>
      </w:r>
    </w:p>
    <w:p w:rsidR="00180A73" w:rsidRDefault="00180A73" w:rsidP="00180A73">
      <w:pPr>
        <w:pStyle w:val="Normlnweb"/>
        <w:jc w:val="both"/>
      </w:pPr>
      <w:r>
        <w:t xml:space="preserve">Navíc vláda Soud nepřesvědčila o tom, že učinila veškeré kroky, aby mohla realizovat předběžné opatření. Soud například neinformovala o jakémkoli pokusu vysvětlit situaci iráckým orgánům a dosáhnout dočasného řešení dané situace. Kroky britské vlády vůči iráckým orgánům před vyhoštěním stěžovatelů nebyly dostatečné k tomu, aby závazně zajistily, že v daném případě nebude aplikován trest smrti. Shrnuto, Velká Británie neučinila všechny nezbytné kroky, aby aplikovala předběžné opatření, a vystavila tak stěžovatele vážnému nebezpečí závažné a nenapravitelné újmy. K tomu přispěla neúčinnost řízení před Sněmovnou lordů. </w:t>
      </w:r>
    </w:p>
    <w:p w:rsidR="00D37E2A" w:rsidRPr="00180A73" w:rsidRDefault="00180A73" w:rsidP="00180A73">
      <w:pPr>
        <w:pStyle w:val="Normlnweb"/>
        <w:jc w:val="both"/>
      </w:pPr>
      <w:r>
        <w:t>Porušení člán</w:t>
      </w:r>
      <w:r>
        <w:t>ku 13 Úmluvy (6 hlasů proti 1).</w:t>
      </w:r>
    </w:p>
    <w:sectPr w:rsidR="00D37E2A" w:rsidRPr="00180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16719A"/>
    <w:rsid w:val="00180A73"/>
    <w:rsid w:val="00197CAF"/>
    <w:rsid w:val="002E1514"/>
    <w:rsid w:val="00363300"/>
    <w:rsid w:val="00403EAD"/>
    <w:rsid w:val="004E3FB8"/>
    <w:rsid w:val="006061A7"/>
    <w:rsid w:val="009B1AC3"/>
    <w:rsid w:val="00C6090E"/>
    <w:rsid w:val="00CE4E97"/>
    <w:rsid w:val="00D37E2A"/>
    <w:rsid w:val="00DD1F95"/>
    <w:rsid w:val="00E217A8"/>
    <w:rsid w:val="00FF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2015-05-12T12:56:00Z</dcterms:created>
  <dcterms:modified xsi:type="dcterms:W3CDTF">2015-05-12T12:56:00Z</dcterms:modified>
</cp:coreProperties>
</file>