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14" w:rsidRDefault="002E1514" w:rsidP="002E1514">
      <w:pPr>
        <w:pStyle w:val="Normlnweb"/>
        <w:jc w:val="both"/>
      </w:pPr>
      <w:r>
        <w:rPr>
          <w:rStyle w:val="Siln"/>
          <w:i/>
          <w:iCs/>
        </w:rPr>
        <w:t>AKDAŞ proti Turecku</w:t>
      </w:r>
    </w:p>
    <w:p w:rsidR="002E1514" w:rsidRDefault="002E1514" w:rsidP="002E1514">
      <w:pPr>
        <w:pStyle w:val="Normlnweb"/>
        <w:jc w:val="both"/>
      </w:pPr>
      <w:r>
        <w:t>Rozsudek z 16. února 2010</w:t>
      </w:r>
    </w:p>
    <w:p w:rsidR="002E1514" w:rsidRDefault="002E1514" w:rsidP="002E1514">
      <w:pPr>
        <w:pStyle w:val="Normlnweb"/>
        <w:jc w:val="both"/>
      </w:pPr>
      <w:r>
        <w:rPr>
          <w:rStyle w:val="Siln"/>
        </w:rPr>
        <w:t>Zabavení překladu erotické literatury a odsouzení vydavatele.</w:t>
      </w:r>
      <w:r>
        <w:t xml:space="preserve"> V červnu 1999 stěžovatel, který je soukromým vydavatelem, vydal erotický román Jedenáct tisíc panen od francouzského autora </w:t>
      </w:r>
      <w:proofErr w:type="spellStart"/>
      <w:r>
        <w:t>Guillauma</w:t>
      </w:r>
      <w:proofErr w:type="spellEnd"/>
      <w:r>
        <w:t xml:space="preserve"> </w:t>
      </w:r>
      <w:proofErr w:type="spellStart"/>
      <w:r>
        <w:t>Apollinaira</w:t>
      </w:r>
      <w:proofErr w:type="spellEnd"/>
      <w:r>
        <w:t>, přeložený do turečtiny. Román popisuje scény drsných sexuálních aktů prováděných různým způsobem včetně sadomasochismu, vampirismu nebo pedofilie. V říjnu 1999 prokurátor podal na stěžovatele obžalobu pro vydávání obscénní nebo nemravné literatury, mající za cíl vzrušovat a využívat sexuální touhu populace veřejnosti. V září 2000 byl stěžovatel odsouzen k zaplacení vysoké pokuty. Zároveň bylo nařízeno zabavení všech vydaných svazků. Kasační soud jako soud poslední instance zrušil nařízení zničení svazků, a to na základě zákona novelizovaného v roce 2003, avšak potvrdil odsouzení stěžovatele k zaplacení pokuty, která mohla být změněna na trest odnětí svobody, pokud by ji stěžovatel nezaplatil. Celá částka byla zaplacena v listopadu 2004.</w:t>
      </w:r>
    </w:p>
    <w:p w:rsidR="002E1514" w:rsidRDefault="002E1514" w:rsidP="002E1514">
      <w:pPr>
        <w:pStyle w:val="Normlnweb"/>
        <w:jc w:val="both"/>
      </w:pPr>
      <w:r>
        <w:t>Podle názoru Soudu zabavení překladu erotického románu světově známého autora a odsouzení stěžovatele bylo zásahem do jeho svobody projevu, které sice bylo zákonné a vedené legitimním cílem ochrany morálky, avšak otázkou bylo, zda šlo i o zásah přiměřený.</w:t>
      </w:r>
      <w:r>
        <w:br/>
        <w:t>Pokud Soud jednotlivým státům přiznává určitou míru volného uvážení v této oblasti, v tomto konkrétním případě nesměl podcenit skutečnost, že od prvního vydání dotčené knihy ve Francii v roce 1907 uplynulo více jak jedno století. Od té doby byla kniha přeložena do mnoha jazyků a publikována v různých zemích. Soud judikoval, že rozsah volného uvážení, jinak řečeno rozsah uznání kulturních, historických a náboženských jedinečností členských zemí Rady Evropy nesmí jít tak daleko, aby bránilo přístupu veřejnosti v určitém jazyce k uměleckému dílu, které je součástí evropského literárního dědictví. Tyto prvky Soudu stačily k tomu, aby mohl konstatovat, že turecký zákon neodpovídal naléhavým sociálním potřebám. Mimoto zásah, jehož obětí byl stěžovatel, který spočíval v uložení vysoké pokuty a zabavení všech exemplářů, nebyl podle názoru Soudu přiměřený vzhledem k cíli, který sledoval. Nebyl tedy nezbytný v demokratické společnosti.</w:t>
      </w:r>
    </w:p>
    <w:p w:rsidR="00D37E2A" w:rsidRDefault="002E1514" w:rsidP="002E1514">
      <w:pPr>
        <w:pStyle w:val="Normlnweb"/>
        <w:jc w:val="both"/>
      </w:pPr>
      <w:r>
        <w:t>Porušení článku 10 Úmluvy (jednomyslně).</w:t>
      </w:r>
      <w:bookmarkStart w:id="0" w:name="_GoBack"/>
      <w:bookmarkEnd w:id="0"/>
    </w:p>
    <w:sectPr w:rsidR="00D3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4"/>
    <w:rsid w:val="002E1514"/>
    <w:rsid w:val="00D3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2015-05-12T12:09:00Z</dcterms:created>
  <dcterms:modified xsi:type="dcterms:W3CDTF">2015-05-12T12:09:00Z</dcterms:modified>
</cp:coreProperties>
</file>