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b/>
          <w:lang w:val="cs-CZ"/>
        </w:rPr>
      </w:pPr>
      <w:proofErr w:type="spellStart"/>
      <w:r w:rsidRPr="00796990">
        <w:rPr>
          <w:rFonts w:asciiTheme="majorHAnsi" w:hAnsiTheme="majorHAnsi"/>
          <w:b/>
          <w:lang w:val="cs-CZ"/>
        </w:rPr>
        <w:t>Vasiliauskas</w:t>
      </w:r>
      <w:proofErr w:type="spellEnd"/>
      <w:r w:rsidRPr="00796990">
        <w:rPr>
          <w:rFonts w:asciiTheme="majorHAnsi" w:hAnsiTheme="majorHAnsi"/>
          <w:b/>
          <w:lang w:val="cs-CZ"/>
        </w:rPr>
        <w:t xml:space="preserve"> proti Lotyšsku (č. 35343/05)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b/>
          <w:lang w:val="cs-CZ"/>
        </w:rPr>
      </w:pPr>
      <w:r w:rsidRPr="00796990">
        <w:rPr>
          <w:rFonts w:asciiTheme="majorHAnsi" w:hAnsiTheme="majorHAnsi"/>
          <w:b/>
          <w:lang w:val="cs-CZ"/>
        </w:rPr>
        <w:t>Jednání velkého senátu 4. června 2014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Stížnost se týká odsouzení stěžovatele v roce 2004 za trestný čin genocidy spáchaný v roce 1953.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Dne 15. června 1940 byla Litva napadena vojsky Sovětského svazu. 21. července 1940 byla okupačními vojsky vyhlášena Litevská sovětská socialistická republika a 8. srpna téhož roku byla anektována k Sovětskému svazu. V roce 1941 bylo litevské území okupováno nacisty. V červenci 1944 byl v zemi znovu ustanoven sovětský řád. Během celého tohoto období bylo v Litvě aktivních několik partizánských skupin. V květnu 1945 sovětské úř</w:t>
      </w:r>
      <w:r>
        <w:rPr>
          <w:rFonts w:asciiTheme="majorHAnsi" w:hAnsiTheme="majorHAnsi"/>
          <w:lang w:val="cs-CZ"/>
        </w:rPr>
        <w:t xml:space="preserve">ady prohlásily, že amnestují </w:t>
      </w:r>
      <w:r w:rsidRPr="00796990">
        <w:rPr>
          <w:rFonts w:asciiTheme="majorHAnsi" w:hAnsiTheme="majorHAnsi"/>
          <w:lang w:val="cs-CZ"/>
        </w:rPr>
        <w:t>partyzány, kteří se okamžitě přihlásí a složí zbraně. Nicméně některé partizánské skupiny v odboji pokračovaly. Jejich příslušníci riskovali, že budou trestně stíháni. K tomu i došlo, všichni včetně stěžovatele byli zadrženi a stíháni, někdy i zabiti během zatýkání. Sovětským úřadům se nakonec podařilo jejich odpor zcela překonat. Litva se znovu stala nezávislou zemí v březnu 1990, což Sovětský svaz uznal v září 1991.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V roce 1952 byl stěžovatel zaměstnán jako vedoucí úředník krajského úřadu č. 2-N ministerstva státní bezpečnosti v </w:t>
      </w:r>
      <w:proofErr w:type="spellStart"/>
      <w:r w:rsidRPr="00796990">
        <w:rPr>
          <w:rFonts w:asciiTheme="majorHAnsi" w:hAnsiTheme="majorHAnsi"/>
          <w:lang w:val="cs-CZ"/>
        </w:rPr>
        <w:t>Siauliai</w:t>
      </w:r>
      <w:proofErr w:type="spellEnd"/>
      <w:r w:rsidRPr="00796990">
        <w:rPr>
          <w:rFonts w:asciiTheme="majorHAnsi" w:hAnsiTheme="majorHAnsi"/>
          <w:lang w:val="cs-CZ"/>
        </w:rPr>
        <w:t>. V lednu 1953 se zúčastnil operace proti partyzánům, kteří se v tamním regionu nacházeli. Podle jeho výpovědi žena (MZ, která byla stíhána společně se stěžovatelem) oznámila svému nadřízenému přítomnost dvou partyzánů, a bylo rozhodnuto zahájit operaci k jejich zadržení. Stěžovatel stál opodál společně s MZ, když slyšel výstřely vojáků a výbuch granátu. Během operace byli oba partyzáni zabiti.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V dubnu 2001 zahájil prokurátor trestní stíhání v souvislosti s jejich smrtí a podal na stěžovatele a MZ žalobu pro trestný čin genocidy podle tehdy platného trestního zákona.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V dubnu 2004 Kaunaský krajský soud shledal stěžovatele vinným ze spáchání trestného činu genocidy politické skupiny podle ustanovení § 99 nového trestního zákona, který nabyl účinnosti 1. května 2003, a odsoudil ho k trestu odnětí svobody v délce šesti let, jehož výkon byl ze zdravotních důvodů odložen. Soud měl k dispozici zprávu Vědeckého centra pro genocidu a odpor litevských občanů, ve kterém bylo uvedeno, že se stěžovatel operace aktivně zúčastnil, avšak nepovažoval ho za dostatečný důkaz ke konstatování jeho viny, že zastřelil partyzány. Vyslechl svědkyn</w:t>
      </w:r>
      <w:r>
        <w:rPr>
          <w:rFonts w:asciiTheme="majorHAnsi" w:hAnsiTheme="majorHAnsi"/>
          <w:lang w:val="cs-CZ"/>
        </w:rPr>
        <w:t>i</w:t>
      </w:r>
      <w:r w:rsidRPr="00796990">
        <w:rPr>
          <w:rFonts w:asciiTheme="majorHAnsi" w:hAnsiTheme="majorHAnsi"/>
          <w:lang w:val="cs-CZ"/>
        </w:rPr>
        <w:t>, která vypověděla, že se dozvěděla, že se stěžovatel aktivně zúčastnil protipartyzánské operace. Další svědek tvrdil, že v archívu našel dokumenty, podle kterých byl stěžovatelem aktivním účastníkem operace, nicméně nebylo jasné, zda šlo o stejné materiály, které předložilo Vědecké centrum. Z rozsudku soudu jednoznačně nevyplývá, zda se opíral o jiný dokument.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V září 2004 odvolací soud rozsudek potvrdil. Podle jeho názoru soud první instance nejudikoval, že by stěžovatel part</w:t>
      </w:r>
      <w:r>
        <w:rPr>
          <w:rFonts w:asciiTheme="majorHAnsi" w:hAnsiTheme="majorHAnsi"/>
          <w:lang w:val="cs-CZ"/>
        </w:rPr>
        <w:t>y</w:t>
      </w:r>
      <w:r w:rsidRPr="00796990">
        <w:rPr>
          <w:rFonts w:asciiTheme="majorHAnsi" w:hAnsiTheme="majorHAnsi"/>
          <w:lang w:val="cs-CZ"/>
        </w:rPr>
        <w:t>zány zastřelil, ale že se zúčastnil operace za účelem vymýcení part</w:t>
      </w:r>
      <w:r>
        <w:rPr>
          <w:rFonts w:asciiTheme="majorHAnsi" w:hAnsiTheme="majorHAnsi"/>
          <w:lang w:val="cs-CZ"/>
        </w:rPr>
        <w:t>y</w:t>
      </w:r>
      <w:r w:rsidRPr="00796990">
        <w:rPr>
          <w:rFonts w:asciiTheme="majorHAnsi" w:hAnsiTheme="majorHAnsi"/>
          <w:lang w:val="cs-CZ"/>
        </w:rPr>
        <w:t xml:space="preserve">zánů. Navíc výpověď stěžovatele potvrdila, že se aktivně operace zúčastnil, byl zodpovědný za MZ, </w:t>
      </w:r>
      <w:r>
        <w:rPr>
          <w:rFonts w:asciiTheme="majorHAnsi" w:hAnsiTheme="majorHAnsi"/>
          <w:lang w:val="cs-CZ"/>
        </w:rPr>
        <w:t>která uvedla místo, kde se party</w:t>
      </w:r>
      <w:r w:rsidRPr="00796990">
        <w:rPr>
          <w:rFonts w:asciiTheme="majorHAnsi" w:hAnsiTheme="majorHAnsi"/>
          <w:lang w:val="cs-CZ"/>
        </w:rPr>
        <w:t xml:space="preserve">záni ukrývali, zůstal s ní až do ukončení operace a byl jedním z důstojníků, kteří obklíčili bunkr. Podle názoru soudu stěžovatel jednal úmyslně. Odvolací soud odmítl stěžovatelovu námitku, podle které litevské trestněprávní ustanovení o genocidě je širší než jak ji zakotvuje Úmluva o genocidě. Soud připustil, že tento problém nebyl na první instanci diskutován, ale i tak byla tato námitka neopodstatněná. I když koncept genocidy byl v trestním zákoně širší, podle názoru soudu zahrnutí termínu politické skupiny bylo „opodstatněné a v souladu </w:t>
      </w:r>
      <w:r w:rsidRPr="00796990">
        <w:rPr>
          <w:rFonts w:asciiTheme="majorHAnsi" w:hAnsiTheme="majorHAnsi"/>
          <w:lang w:val="cs-CZ"/>
        </w:rPr>
        <w:lastRenderedPageBreak/>
        <w:t>s realitou“, když Úmluva o genocidě výslovně nezakazuje širší interpretaci konceptu genocidy. Soud podotkl, že part</w:t>
      </w:r>
      <w:r>
        <w:rPr>
          <w:rFonts w:asciiTheme="majorHAnsi" w:hAnsiTheme="majorHAnsi"/>
          <w:lang w:val="cs-CZ"/>
        </w:rPr>
        <w:t>y</w:t>
      </w:r>
      <w:r w:rsidRPr="00796990">
        <w:rPr>
          <w:rFonts w:asciiTheme="majorHAnsi" w:hAnsiTheme="majorHAnsi"/>
          <w:lang w:val="cs-CZ"/>
        </w:rPr>
        <w:t>záni byli též součástí litevského národa a že sovětská genocida byla tedy namířena proti Litevcům jako takovým.</w:t>
      </w:r>
    </w:p>
    <w:p w:rsidR="0079278A" w:rsidRPr="00796990" w:rsidRDefault="0079278A" w:rsidP="0079278A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V únoru 2005 Nejvyšší soud potvrdil stěžovatelovo odsouzení konečným rozhodnutím. Judikoval, že na základě Úmluvy o genocidě Litva se zavázala trestat pachatele za činnost namířenou na vymýcení národních, etnických, rasových nebo náboženských skupin. Nicméně tím, že k této úmluvě přistoupila, nebrání ji v tom, aby určila činnosti, které mají být stíhány podle trestního práva. Soud se odvolal na ustanovení § 2 zákona o odpovědnosti za genocidu proti litevským občanům, který byl přijat v dubnu 1992 a který prohlásil, že zabíjení litevských občanů během okupace a anexe Sovětským svazem bylo klasifikováno jako trestný čin genocidy, a uvedl, že § 99 trestního zákona a § 71 původního trestního zákona pouze implementovaly § 2 tohoto zákona. Nejv</w:t>
      </w:r>
      <w:r>
        <w:rPr>
          <w:rFonts w:asciiTheme="majorHAnsi" w:hAnsiTheme="majorHAnsi"/>
          <w:lang w:val="cs-CZ"/>
        </w:rPr>
        <w:t>yšší soud dále podotkl, že party</w:t>
      </w:r>
      <w:r w:rsidRPr="00796990">
        <w:rPr>
          <w:rFonts w:asciiTheme="majorHAnsi" w:hAnsiTheme="majorHAnsi"/>
          <w:lang w:val="cs-CZ"/>
        </w:rPr>
        <w:t>záni zabití během okupace byli vojáci, kteří se účastnili odboje proti okupaci.</w:t>
      </w:r>
    </w:p>
    <w:p w:rsidR="00F17F01" w:rsidRDefault="00F17F01">
      <w:bookmarkStart w:id="0" w:name="_GoBack"/>
      <w:bookmarkEnd w:id="0"/>
    </w:p>
    <w:sectPr w:rsidR="00F1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8A"/>
    <w:rsid w:val="0079278A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79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79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2014-04-22T10:42:00Z</dcterms:created>
  <dcterms:modified xsi:type="dcterms:W3CDTF">2014-04-22T10:43:00Z</dcterms:modified>
</cp:coreProperties>
</file>