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2F" w:rsidRPr="00524885" w:rsidRDefault="001A5B2F" w:rsidP="001A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524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VALCHEV A DALŠÍ proti Bulharsku</w:t>
      </w:r>
      <w:r w:rsidRPr="0052488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bookmarkEnd w:id="0"/>
    <w:p w:rsidR="001A5B2F" w:rsidRPr="00524885" w:rsidRDefault="001A5B2F" w:rsidP="001A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885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z 21. ledna 2014</w:t>
      </w:r>
    </w:p>
    <w:p w:rsidR="001A5B2F" w:rsidRPr="00524885" w:rsidRDefault="001A5B2F" w:rsidP="001A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8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Nepředložení účastníku občanskoprávního řízení pro informaci či k jeho vyjádření stanoviska odpůrce, týkajícího se připuštění dovolání k Nejvyššímu soudu.</w:t>
      </w:r>
      <w:r w:rsidRPr="00524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Stěžovatelé byli účastníky různých občanskoprávních řízení. V letech 2010 a 2011 podali k Nejvyššímu soudu svá dovolání. Nejvyšší soud však odmítl dovolání přijmout k projednání, neboť podle jeho názoru nesplňovala požadavky uvedené v občanském soudním řádu z roku 2007. Před ESLP stěžovatelé namítali, že v důsledku nezaslání jim vyjádření ostatních účastníků řízení k jejich dovolání a neumožněním jim se tak vyjádřit buď písemně či ústně v řízení před Nejvyšším soudem, který rozhodoval o přijetí jejich dovolání k meritornímu projednání, dostali se do nepříznivějšího postavení v porovnání s jejich odpůrci.</w:t>
      </w:r>
    </w:p>
    <w:p w:rsidR="001A5B2F" w:rsidRPr="00524885" w:rsidRDefault="001A5B2F" w:rsidP="001A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885">
        <w:rPr>
          <w:rFonts w:ascii="Times New Roman" w:eastAsia="Times New Roman" w:hAnsi="Times New Roman" w:cs="Times New Roman"/>
          <w:sz w:val="24"/>
          <w:szCs w:val="24"/>
          <w:lang w:eastAsia="cs-CZ"/>
        </w:rPr>
        <w:t>Bulharský soudní řád z roku 2007 zakotvil novou úlohu Nejvyššího soudu v občanskoprávních kauzách, totiž sjednocování aplikace vnitrostátních zákonů vydáváním „zásadních“ rozsudků. Za tímto účelem dovolání nejsou automaticky přijímána k meritornímu projednání, jak tomu bylo podle původního občanského soudního řádu z roku 1952, nýbrž jsou podrobována tzv. předvýběru. V rámci tohoto řízení Nejvyšší soud neprojednává meritum dovolání, nýbrž pouze rozhoduje o tom, zda určité dovolání bude či nikoli přijato k projednání. Činí tak na základě obsahu dovolání a vyjádření odpůrce. Občanský soudní řád neobsahuje žádné ustanovení o tom, že by vyjádření odpůrce měla být zasílána dovolateli a neuvádí, zda by se k němu měl vyjádřit. Nejvyšší soud o přijatelnosti dovolání rozhoduje bez jednání.</w:t>
      </w:r>
    </w:p>
    <w:p w:rsidR="001A5B2F" w:rsidRPr="00524885" w:rsidRDefault="001A5B2F" w:rsidP="001A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885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názoru ESLP se mohli stěžovatelé ve svém dovolání řádně k věci vyjádřit a uvést všechny argumenty, které před Nejvyšším soudem chtěli uvést, zejména k tomu, proč by jejich dovolání měla být přijata k meritornímu rozhodnutí. Skutečnost, že jim nebyla zaslána stanoviska odpůrců a neumožnění stěžovatelům se k nim vyjádřit je proto – vzhledem ke specificitě řízení – neznevýhodnila. ESLP proto shledal námitku stěžovatelů zjevně neopodstatněnou.</w:t>
      </w:r>
    </w:p>
    <w:p w:rsidR="00027DA1" w:rsidRPr="001A5B2F" w:rsidRDefault="001A5B2F" w:rsidP="001A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885">
        <w:rPr>
          <w:rFonts w:ascii="Times New Roman" w:eastAsia="Times New Roman" w:hAnsi="Times New Roman" w:cs="Times New Roman"/>
          <w:sz w:val="24"/>
          <w:szCs w:val="24"/>
          <w:lang w:eastAsia="cs-CZ"/>
        </w:rPr>
        <w:t>Tím, že Nejvyšší soud podroboval v letech 2010 až 2012 dovolání předvýběru, meritorně se vyjádřil proto pouze k 20 % případů. ESLP k této skutečnosti poznamenal, že podobné řízení před nejvyššími instancemi existuje i v jiných smluvních státech, jako je Albánie, Arménie, Finsko, Francie, Maďarsko, Polsko, Švédsko, Ukrajina a Spojené království. Za těchto okolností tak omezení počtu případů přijatých k meritornímu projednání bulharským Nejvyšším soudem sledovalo podle jeho názoru legitimní cíl. Způsob, jakým toto omezení bylo zákonně upraveno, spadalo do rozhodovací pravomoci státu. K neurčitosti ustanovení občanského soudního řádu upravující předvýběrové řízení ESLP uvedl, že tato ustanovení měla rámcový charakter proto, aby umožnila nejvyšší soudní instanci postupovat dostatečně široce a soustředit se tak na svou hlavní roli, totiž sjednocovat aplikaci vnitrostátního zákona v rámci soudního systému. I tato námitka stěžovatelů byla proto ESLP shledána jako zjevně neopodstatněná.</w:t>
      </w:r>
    </w:p>
    <w:sectPr w:rsidR="00027DA1" w:rsidRPr="001A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2F"/>
    <w:rsid w:val="00027DA1"/>
    <w:rsid w:val="001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2015-03-19T15:22:00Z</dcterms:created>
  <dcterms:modified xsi:type="dcterms:W3CDTF">2015-03-19T15:23:00Z</dcterms:modified>
</cp:coreProperties>
</file>