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C6" w:rsidRPr="001B4E24" w:rsidRDefault="009647C6" w:rsidP="009647C6">
      <w:pPr>
        <w:jc w:val="both"/>
        <w:rPr>
          <w:rFonts w:ascii="Times New Roman" w:hAnsi="Times New Roman" w:cs="Times New Roman"/>
          <w:sz w:val="24"/>
          <w:szCs w:val="24"/>
        </w:rPr>
      </w:pPr>
      <w:r w:rsidRPr="001B4E24">
        <w:rPr>
          <w:rFonts w:ascii="Times New Roman" w:hAnsi="Times New Roman" w:cs="Times New Roman"/>
          <w:sz w:val="24"/>
          <w:szCs w:val="24"/>
        </w:rPr>
        <w:t>Evropský den advokátů 2016</w:t>
      </w:r>
      <w:bookmarkStart w:id="0" w:name="_GoBack"/>
      <w:bookmarkEnd w:id="0"/>
    </w:p>
    <w:p w:rsidR="009647C6" w:rsidRPr="001B4E24" w:rsidRDefault="009647C6" w:rsidP="009647C6">
      <w:pPr>
        <w:jc w:val="both"/>
        <w:rPr>
          <w:rFonts w:ascii="Times New Roman" w:hAnsi="Times New Roman" w:cs="Times New Roman"/>
          <w:sz w:val="24"/>
          <w:szCs w:val="24"/>
        </w:rPr>
      </w:pPr>
      <w:r w:rsidRPr="001B4E24">
        <w:rPr>
          <w:rFonts w:ascii="Times New Roman" w:hAnsi="Times New Roman" w:cs="Times New Roman"/>
          <w:sz w:val="24"/>
          <w:szCs w:val="24"/>
        </w:rPr>
        <w:t>„Oslovte svého advokáta, získejte přístup ke svým právům“</w:t>
      </w:r>
    </w:p>
    <w:p w:rsidR="009035AA" w:rsidRDefault="009035AA" w:rsidP="009647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5AA" w:rsidRPr="00D50E15" w:rsidRDefault="009035AA" w:rsidP="009647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 Evropského dne advokátů – Přístup ke spravedlnosti</w:t>
      </w:r>
    </w:p>
    <w:p w:rsidR="009035AA" w:rsidRDefault="009035AA" w:rsidP="008D4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47F2" w:rsidRPr="008D47F2" w:rsidRDefault="008D47F2" w:rsidP="008D47F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 xml:space="preserve">Pro rok 2016 bylo vybráno centrální téma „Přístup ke spravedlnosti“.  Přístup ke spravedlnosti je opravdu zásadní součástí hlavního poslání advokátní profese – zahrnuje širokou škálu podtémat, jako např. právo na přístup k advokátovi v trestních řízeních, garantovým v členských státech EU prostřednictvím Směrnice Evropského parlamentu a Rady 2013/48/EU ze dne 22. října 2013 o právu na přístup k obhájci v trestním řízení a řízení týkajícím se evropského zatýkacího rozkazu a o právu na informování třetí strany a právu na komunikaci s třetími osobami a konzulárními úřady v případě zbavení osobní svobody. </w:t>
      </w:r>
    </w:p>
    <w:p w:rsidR="008D47F2" w:rsidRPr="008D47F2" w:rsidRDefault="008D47F2" w:rsidP="008D47F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 xml:space="preserve">CCBE by chtěla poukázat na fakt, že mít přístup k advokátovi umožňuje člověku mít přístup ke všem svým právům. Advokáti mají výjimečné postavení v tom, že mohou občany informovat a odborně přispět k řešení jejich problémů. </w:t>
      </w:r>
    </w:p>
    <w:p w:rsidR="008D47F2" w:rsidRPr="008D47F2" w:rsidRDefault="008D47F2" w:rsidP="008D47F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 xml:space="preserve">Právo na právní pomoc v trestních řízeních je základním právem zakotveným v Listině základních práv a svobod EU a Základních zásadách role advokáta přijatými OSN. Navíc se CCBE značně angažovala v legislativním procesu týkajícím se šesti směrnic v oblasti trestního procesního práva (z nichž tři jsou již účinné), jejichž cílem je zlepšení procesních záruk pro občany a informování o právu na tlumočení a překlad, právu na informace a na přístup k advokátovi. K těmto třem směrnicím CCBE nedávno dokončilo studii. </w:t>
      </w:r>
    </w:p>
    <w:p w:rsidR="008D47F2" w:rsidRPr="008D47F2" w:rsidRDefault="008D47F2" w:rsidP="008D47F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Nicméně Směrnice o právu na přístup k obhájci v trestním řízení</w:t>
      </w:r>
      <w:r w:rsidR="000E5726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8D47F2">
        <w:rPr>
          <w:rFonts w:ascii="Times New Roman" w:hAnsi="Times New Roman" w:cs="Times New Roman"/>
          <w:sz w:val="24"/>
          <w:szCs w:val="24"/>
        </w:rPr>
        <w:t xml:space="preserve"> je nejzásadnější směrnicí pro dané téma. Jde o novou směrnici, která musí být implementována do 27. listopadu 2016, což dobře konvenuje s Evropským dnem advokátů. Směrnice upravuje:</w:t>
      </w:r>
    </w:p>
    <w:p w:rsidR="008D47F2" w:rsidRPr="008D47F2" w:rsidRDefault="008D47F2" w:rsidP="008D4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Právo na přístup k advokátovi v trestních řízeních</w:t>
      </w:r>
    </w:p>
    <w:p w:rsidR="008D47F2" w:rsidRPr="008D47F2" w:rsidRDefault="008D47F2" w:rsidP="008D4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Právo na důvěrnost</w:t>
      </w:r>
    </w:p>
    <w:p w:rsidR="008D47F2" w:rsidRPr="008D47F2" w:rsidRDefault="008D47F2" w:rsidP="008D4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Právo na informování třetí osoby o zbavení osobní svobody</w:t>
      </w:r>
    </w:p>
    <w:p w:rsidR="008D47F2" w:rsidRPr="008D47F2" w:rsidRDefault="008D47F2" w:rsidP="008D4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Právo na komunikaci se třetí osobou po zbavení osobní svobody</w:t>
      </w:r>
    </w:p>
    <w:p w:rsidR="008D47F2" w:rsidRPr="008D47F2" w:rsidRDefault="008D47F2" w:rsidP="008D4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Právo na komunikaci s konzulárními úřady</w:t>
      </w:r>
    </w:p>
    <w:p w:rsidR="008D47F2" w:rsidRPr="008D47F2" w:rsidRDefault="008D47F2" w:rsidP="008D47F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>Podmínky zřeknutí se těchto práv.</w:t>
      </w:r>
    </w:p>
    <w:p w:rsidR="008D47F2" w:rsidRPr="008D47F2" w:rsidRDefault="008D47F2" w:rsidP="008D47F2">
      <w:pPr>
        <w:jc w:val="both"/>
        <w:rPr>
          <w:rFonts w:ascii="Times New Roman" w:hAnsi="Times New Roman" w:cs="Times New Roman"/>
          <w:sz w:val="24"/>
          <w:szCs w:val="24"/>
        </w:rPr>
      </w:pPr>
      <w:r w:rsidRPr="008D47F2">
        <w:rPr>
          <w:rFonts w:ascii="Times New Roman" w:hAnsi="Times New Roman" w:cs="Times New Roman"/>
          <w:sz w:val="24"/>
          <w:szCs w:val="24"/>
        </w:rPr>
        <w:t xml:space="preserve">Tato směrnice je maximálním uznáním role a přidané hodnoty advokáta ve snaze o zajištění práv občanům. Advokát je odborník se zkušenostmi v právních řízeních a znalostí jednotlivých práv, který je schopen klientovi pomoci posoudit jeho práva a způsob, jak se jich domoci. Zásah advokáta je prospěšný všem, neboť jeho odbornost přispívá k zajištění adekvátního řešení. </w:t>
      </w:r>
    </w:p>
    <w:p w:rsidR="00D52DF0" w:rsidRPr="008D47F2" w:rsidRDefault="00D52DF0" w:rsidP="008D47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2DF0" w:rsidRPr="008D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15" w:rsidRDefault="00D50E15" w:rsidP="00D50E15">
      <w:pPr>
        <w:spacing w:after="0" w:line="240" w:lineRule="auto"/>
      </w:pPr>
      <w:r>
        <w:separator/>
      </w:r>
    </w:p>
  </w:endnote>
  <w:endnote w:type="continuationSeparator" w:id="0">
    <w:p w:rsidR="00D50E15" w:rsidRDefault="00D50E15" w:rsidP="00D5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15" w:rsidRDefault="00D50E15" w:rsidP="00D50E15">
      <w:pPr>
        <w:spacing w:after="0" w:line="240" w:lineRule="auto"/>
      </w:pPr>
      <w:r>
        <w:separator/>
      </w:r>
    </w:p>
  </w:footnote>
  <w:footnote w:type="continuationSeparator" w:id="0">
    <w:p w:rsidR="00D50E15" w:rsidRDefault="00D50E15" w:rsidP="00D50E15">
      <w:pPr>
        <w:spacing w:after="0" w:line="240" w:lineRule="auto"/>
      </w:pPr>
      <w:r>
        <w:continuationSeparator/>
      </w:r>
    </w:p>
  </w:footnote>
  <w:footnote w:id="1">
    <w:p w:rsidR="000E5726" w:rsidRDefault="000E5726" w:rsidP="000E572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642BE9">
          <w:rPr>
            <w:rStyle w:val="Hypertextovodkaz"/>
          </w:rPr>
          <w:t>http://eur-lex.europa.eu/legal-content/CS/TXT/?uri=CELEX:32013L0048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017"/>
    <w:multiLevelType w:val="hybridMultilevel"/>
    <w:tmpl w:val="A2146720"/>
    <w:lvl w:ilvl="0" w:tplc="F4108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F2"/>
    <w:rsid w:val="000D53DC"/>
    <w:rsid w:val="000E5726"/>
    <w:rsid w:val="001B4E24"/>
    <w:rsid w:val="008D47F2"/>
    <w:rsid w:val="009035AA"/>
    <w:rsid w:val="009647C6"/>
    <w:rsid w:val="00D50E15"/>
    <w:rsid w:val="00D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7F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7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7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7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0E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0E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0E1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50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7F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47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D4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4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7F2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7F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0E1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0E1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0E1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50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CS/TXT/?uri=CELEX:32013L00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E4FD-6A19-4345-AD5E-9F5F71D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Vojířová</dc:creator>
  <cp:lastModifiedBy>Lenka Vojířová</cp:lastModifiedBy>
  <cp:revision>4</cp:revision>
  <dcterms:created xsi:type="dcterms:W3CDTF">2016-12-05T13:49:00Z</dcterms:created>
  <dcterms:modified xsi:type="dcterms:W3CDTF">2016-12-06T07:52:00Z</dcterms:modified>
</cp:coreProperties>
</file>