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F8552" w14:textId="15DAD110" w:rsidR="00671319" w:rsidRPr="003722A1" w:rsidRDefault="00671319" w:rsidP="00671319">
      <w:pPr>
        <w:autoSpaceDE w:val="0"/>
        <w:autoSpaceDN w:val="0"/>
        <w:adjustRightInd w:val="0"/>
        <w:spacing w:before="120" w:after="120" w:line="240" w:lineRule="auto"/>
        <w:jc w:val="both"/>
        <w:rPr>
          <w:rFonts w:ascii="Cambria" w:hAnsi="Cambria" w:cs="Calibri"/>
          <w:b/>
          <w:sz w:val="24"/>
          <w:szCs w:val="24"/>
          <w:lang w:val="cs-CZ"/>
        </w:rPr>
      </w:pPr>
      <w:bookmarkStart w:id="0" w:name="_GoBack"/>
      <w:proofErr w:type="spellStart"/>
      <w:r w:rsidRPr="003722A1">
        <w:rPr>
          <w:rFonts w:ascii="Cambria" w:hAnsi="Cambria" w:cs="Calibri"/>
          <w:b/>
          <w:i/>
          <w:sz w:val="24"/>
          <w:szCs w:val="24"/>
          <w:lang w:val="cs-CZ"/>
        </w:rPr>
        <w:t>Pruteanu</w:t>
      </w:r>
      <w:proofErr w:type="spellEnd"/>
      <w:r w:rsidRPr="003722A1">
        <w:rPr>
          <w:rFonts w:ascii="Cambria" w:hAnsi="Cambria" w:cs="Calibri"/>
          <w:b/>
          <w:i/>
          <w:sz w:val="24"/>
          <w:szCs w:val="24"/>
          <w:lang w:val="cs-CZ"/>
        </w:rPr>
        <w:t xml:space="preserve"> proti Rumunsku</w:t>
      </w:r>
      <w:r w:rsidRPr="003722A1">
        <w:rPr>
          <w:rFonts w:ascii="Cambria" w:hAnsi="Cambria" w:cs="Calibri"/>
          <w:b/>
          <w:sz w:val="24"/>
          <w:szCs w:val="24"/>
          <w:lang w:val="cs-CZ"/>
        </w:rPr>
        <w:t xml:space="preserve"> </w:t>
      </w:r>
      <w:bookmarkEnd w:id="0"/>
      <w:r w:rsidRPr="003722A1">
        <w:rPr>
          <w:rFonts w:ascii="Cambria" w:hAnsi="Cambria" w:cs="Calibri"/>
          <w:b/>
          <w:sz w:val="24"/>
          <w:szCs w:val="24"/>
          <w:lang w:val="cs-CZ"/>
        </w:rPr>
        <w:t xml:space="preserve">(č. </w:t>
      </w:r>
      <w:r w:rsidR="00DD1838" w:rsidRPr="003722A1">
        <w:rPr>
          <w:rFonts w:ascii="Cambria" w:hAnsi="Cambria" w:cs="Calibri"/>
          <w:b/>
          <w:sz w:val="24"/>
          <w:szCs w:val="24"/>
          <w:lang w:val="cs-CZ"/>
        </w:rPr>
        <w:t>30181</w:t>
      </w:r>
      <w:r w:rsidRPr="003722A1">
        <w:rPr>
          <w:rFonts w:ascii="Cambria" w:hAnsi="Cambria" w:cs="Calibri"/>
          <w:b/>
          <w:sz w:val="24"/>
          <w:szCs w:val="24"/>
          <w:lang w:val="cs-CZ"/>
        </w:rPr>
        <w:t>/</w:t>
      </w:r>
      <w:r w:rsidR="00DD1838" w:rsidRPr="003722A1">
        <w:rPr>
          <w:rFonts w:ascii="Cambria" w:hAnsi="Cambria" w:cs="Calibri"/>
          <w:b/>
          <w:sz w:val="24"/>
          <w:szCs w:val="24"/>
          <w:lang w:val="cs-CZ"/>
        </w:rPr>
        <w:t>05</w:t>
      </w:r>
      <w:r w:rsidRPr="003722A1">
        <w:rPr>
          <w:rFonts w:ascii="Cambria" w:hAnsi="Cambria" w:cs="Calibri"/>
          <w:b/>
          <w:sz w:val="24"/>
          <w:szCs w:val="24"/>
          <w:lang w:val="cs-CZ"/>
        </w:rPr>
        <w:t>)</w:t>
      </w:r>
    </w:p>
    <w:p w14:paraId="667A76B9" w14:textId="51E9509B" w:rsidR="00671319" w:rsidRPr="003722A1" w:rsidRDefault="00671319" w:rsidP="00671319">
      <w:pPr>
        <w:autoSpaceDE w:val="0"/>
        <w:autoSpaceDN w:val="0"/>
        <w:adjustRightInd w:val="0"/>
        <w:spacing w:before="120" w:after="120" w:line="240" w:lineRule="auto"/>
        <w:jc w:val="both"/>
        <w:rPr>
          <w:rFonts w:ascii="Cambria" w:hAnsi="Cambria" w:cs="Calibri"/>
          <w:sz w:val="24"/>
          <w:szCs w:val="24"/>
          <w:lang w:val="cs-CZ"/>
        </w:rPr>
      </w:pPr>
      <w:r w:rsidRPr="003722A1">
        <w:rPr>
          <w:rFonts w:ascii="Cambria" w:hAnsi="Cambria" w:cs="Calibri"/>
          <w:sz w:val="24"/>
          <w:szCs w:val="24"/>
          <w:lang w:val="cs-CZ"/>
        </w:rPr>
        <w:t>Rozsudek z </w:t>
      </w:r>
      <w:r w:rsidR="00DD1838" w:rsidRPr="003722A1">
        <w:rPr>
          <w:rFonts w:ascii="Cambria" w:hAnsi="Cambria" w:cs="Calibri"/>
          <w:sz w:val="24"/>
          <w:szCs w:val="24"/>
          <w:lang w:val="cs-CZ"/>
        </w:rPr>
        <w:t>3</w:t>
      </w:r>
      <w:r w:rsidRPr="003722A1">
        <w:rPr>
          <w:rFonts w:ascii="Cambria" w:hAnsi="Cambria" w:cs="Calibri"/>
          <w:sz w:val="24"/>
          <w:szCs w:val="24"/>
          <w:lang w:val="cs-CZ"/>
        </w:rPr>
        <w:t>. února 2015</w:t>
      </w:r>
    </w:p>
    <w:p w14:paraId="7419F719" w14:textId="3A8AAD59" w:rsidR="00330536" w:rsidRDefault="000A7EC7" w:rsidP="00DA49D8">
      <w:pPr>
        <w:autoSpaceDE w:val="0"/>
        <w:autoSpaceDN w:val="0"/>
        <w:adjustRightInd w:val="0"/>
        <w:spacing w:before="120" w:after="120" w:line="240" w:lineRule="auto"/>
        <w:ind w:firstLine="284"/>
        <w:jc w:val="both"/>
        <w:rPr>
          <w:rFonts w:ascii="Cambria" w:hAnsi="Cambria" w:cs="Calibri"/>
          <w:sz w:val="24"/>
          <w:szCs w:val="24"/>
          <w:lang w:val="cs-CZ"/>
        </w:rPr>
      </w:pPr>
      <w:r w:rsidRPr="003722A1">
        <w:rPr>
          <w:rFonts w:ascii="Cambria" w:hAnsi="Cambria" w:cs="Calibri"/>
          <w:b/>
          <w:sz w:val="24"/>
          <w:szCs w:val="24"/>
          <w:lang w:val="cs-CZ"/>
        </w:rPr>
        <w:t xml:space="preserve">Odposlech telefonních rozhovorů advokáta, </w:t>
      </w:r>
      <w:r w:rsidR="00202FDE" w:rsidRPr="003722A1">
        <w:rPr>
          <w:rFonts w:ascii="Cambria" w:hAnsi="Cambria" w:cs="Calibri"/>
          <w:b/>
          <w:sz w:val="24"/>
          <w:szCs w:val="24"/>
          <w:lang w:val="cs-CZ"/>
        </w:rPr>
        <w:t xml:space="preserve">který neměl </w:t>
      </w:r>
      <w:r w:rsidRPr="003722A1">
        <w:rPr>
          <w:rFonts w:ascii="Cambria" w:hAnsi="Cambria" w:cs="Calibri"/>
          <w:b/>
          <w:sz w:val="24"/>
          <w:szCs w:val="24"/>
          <w:lang w:val="cs-CZ"/>
        </w:rPr>
        <w:t>možnost nechat přezkoumat zákonnost tohoto opatřen</w:t>
      </w:r>
      <w:r w:rsidR="00DA49D8" w:rsidRPr="003722A1">
        <w:rPr>
          <w:rFonts w:ascii="Cambria" w:hAnsi="Cambria" w:cs="Calibri"/>
          <w:b/>
          <w:sz w:val="24"/>
          <w:szCs w:val="24"/>
          <w:lang w:val="cs-CZ"/>
        </w:rPr>
        <w:t>í a požádat o zničení nahrávek.</w:t>
      </w:r>
      <w:r w:rsidRPr="003722A1">
        <w:rPr>
          <w:rFonts w:ascii="Cambria" w:hAnsi="Cambria" w:cs="Calibri"/>
          <w:sz w:val="24"/>
          <w:szCs w:val="24"/>
          <w:lang w:val="cs-CZ"/>
        </w:rPr>
        <w:t xml:space="preserve"> </w:t>
      </w:r>
      <w:r w:rsidR="00DA49D8" w:rsidRPr="003722A1">
        <w:rPr>
          <w:rFonts w:ascii="Cambria" w:hAnsi="Cambria" w:cs="Calibri"/>
          <w:sz w:val="24"/>
          <w:szCs w:val="24"/>
          <w:lang w:val="cs-CZ"/>
        </w:rPr>
        <w:t>Dne 1. září 2004</w:t>
      </w:r>
      <w:r w:rsidR="005377A4" w:rsidRPr="003722A1">
        <w:rPr>
          <w:rFonts w:ascii="Cambria" w:hAnsi="Cambria" w:cs="Calibri"/>
          <w:sz w:val="24"/>
          <w:szCs w:val="24"/>
          <w:lang w:val="cs-CZ"/>
        </w:rPr>
        <w:t xml:space="preserve"> bylo</w:t>
      </w:r>
      <w:r w:rsidR="00DA49D8" w:rsidRPr="003722A1">
        <w:rPr>
          <w:rFonts w:ascii="Cambria" w:hAnsi="Cambria" w:cs="Calibri"/>
          <w:sz w:val="24"/>
          <w:szCs w:val="24"/>
          <w:lang w:val="cs-CZ"/>
        </w:rPr>
        <w:t xml:space="preserve"> obchodní společnosti M. zabráněno v provádění bankovních transakcí</w:t>
      </w:r>
      <w:r w:rsidR="005377A4" w:rsidRPr="003722A1">
        <w:rPr>
          <w:rFonts w:ascii="Cambria" w:hAnsi="Cambria" w:cs="Calibri"/>
          <w:sz w:val="24"/>
          <w:szCs w:val="24"/>
          <w:lang w:val="cs-CZ"/>
        </w:rPr>
        <w:t>, posléze, co p</w:t>
      </w:r>
      <w:r w:rsidR="00DA49D8" w:rsidRPr="003722A1">
        <w:rPr>
          <w:rFonts w:ascii="Cambria" w:hAnsi="Cambria" w:cs="Calibri"/>
          <w:sz w:val="24"/>
          <w:szCs w:val="24"/>
          <w:lang w:val="cs-CZ"/>
        </w:rPr>
        <w:t xml:space="preserve">olicie obdržela několik trestních oznámení </w:t>
      </w:r>
      <w:r w:rsidR="005377A4" w:rsidRPr="003722A1">
        <w:rPr>
          <w:rFonts w:ascii="Cambria" w:hAnsi="Cambria" w:cs="Calibri"/>
          <w:sz w:val="24"/>
          <w:szCs w:val="24"/>
          <w:lang w:val="cs-CZ"/>
        </w:rPr>
        <w:t>na tu</w:t>
      </w:r>
      <w:r w:rsidR="00DA49D8" w:rsidRPr="003722A1">
        <w:rPr>
          <w:rFonts w:ascii="Cambria" w:hAnsi="Cambria" w:cs="Calibri"/>
          <w:sz w:val="24"/>
          <w:szCs w:val="24"/>
          <w:lang w:val="cs-CZ"/>
        </w:rPr>
        <w:t>to společnost pro podvod. Jeden z obchodníc</w:t>
      </w:r>
      <w:r w:rsidR="005377A4" w:rsidRPr="003722A1">
        <w:rPr>
          <w:rFonts w:ascii="Cambria" w:hAnsi="Cambria" w:cs="Calibri"/>
          <w:sz w:val="24"/>
          <w:szCs w:val="24"/>
          <w:lang w:val="cs-CZ"/>
        </w:rPr>
        <w:t xml:space="preserve">h partnerů společnosti </w:t>
      </w:r>
      <w:proofErr w:type="gramStart"/>
      <w:r w:rsidR="005377A4" w:rsidRPr="003722A1">
        <w:rPr>
          <w:rFonts w:ascii="Cambria" w:hAnsi="Cambria" w:cs="Calibri"/>
          <w:sz w:val="24"/>
          <w:szCs w:val="24"/>
          <w:lang w:val="cs-CZ"/>
        </w:rPr>
        <w:t>C.I. dal</w:t>
      </w:r>
      <w:proofErr w:type="gramEnd"/>
      <w:r w:rsidR="00DA49D8" w:rsidRPr="003722A1">
        <w:rPr>
          <w:rFonts w:ascii="Cambria" w:hAnsi="Cambria" w:cs="Calibri"/>
          <w:sz w:val="24"/>
          <w:szCs w:val="24"/>
          <w:lang w:val="cs-CZ"/>
        </w:rPr>
        <w:t xml:space="preserve"> stěžovateli jako svému právnímu zástupci </w:t>
      </w:r>
      <w:r w:rsidR="005377A4" w:rsidRPr="003722A1">
        <w:rPr>
          <w:rFonts w:ascii="Cambria" w:hAnsi="Cambria" w:cs="Calibri"/>
          <w:sz w:val="24"/>
          <w:szCs w:val="24"/>
          <w:lang w:val="cs-CZ"/>
        </w:rPr>
        <w:t xml:space="preserve">příslušné </w:t>
      </w:r>
      <w:r w:rsidR="00DA49D8" w:rsidRPr="003722A1">
        <w:rPr>
          <w:rFonts w:ascii="Cambria" w:hAnsi="Cambria" w:cs="Calibri"/>
          <w:sz w:val="24"/>
          <w:szCs w:val="24"/>
          <w:lang w:val="cs-CZ"/>
        </w:rPr>
        <w:t xml:space="preserve">instrukce. Dne 24. září 2004 okresní soud povolil </w:t>
      </w:r>
      <w:r w:rsidR="005377A4" w:rsidRPr="003722A1">
        <w:rPr>
          <w:rFonts w:ascii="Cambria" w:hAnsi="Cambria" w:cs="Calibri"/>
          <w:sz w:val="24"/>
          <w:szCs w:val="24"/>
          <w:lang w:val="cs-CZ"/>
        </w:rPr>
        <w:t xml:space="preserve">na žádost </w:t>
      </w:r>
      <w:r w:rsidR="00DA49D8" w:rsidRPr="003722A1">
        <w:rPr>
          <w:rFonts w:ascii="Cambria" w:hAnsi="Cambria" w:cs="Calibri"/>
          <w:sz w:val="24"/>
          <w:szCs w:val="24"/>
          <w:lang w:val="cs-CZ"/>
        </w:rPr>
        <w:t>státní</w:t>
      </w:r>
      <w:r w:rsidR="005377A4" w:rsidRPr="003722A1">
        <w:rPr>
          <w:rFonts w:ascii="Cambria" w:hAnsi="Cambria" w:cs="Calibri"/>
          <w:sz w:val="24"/>
          <w:szCs w:val="24"/>
          <w:lang w:val="cs-CZ"/>
        </w:rPr>
        <w:t>ho</w:t>
      </w:r>
      <w:r w:rsidR="00DA49D8" w:rsidRPr="003722A1">
        <w:rPr>
          <w:rFonts w:ascii="Cambria" w:hAnsi="Cambria" w:cs="Calibri"/>
          <w:sz w:val="24"/>
          <w:szCs w:val="24"/>
          <w:lang w:val="cs-CZ"/>
        </w:rPr>
        <w:t xml:space="preserve"> zástupc</w:t>
      </w:r>
      <w:r w:rsidR="005377A4" w:rsidRPr="003722A1">
        <w:rPr>
          <w:rFonts w:ascii="Cambria" w:hAnsi="Cambria" w:cs="Calibri"/>
          <w:sz w:val="24"/>
          <w:szCs w:val="24"/>
          <w:lang w:val="cs-CZ"/>
        </w:rPr>
        <w:t>e</w:t>
      </w:r>
      <w:r w:rsidR="00DA49D8" w:rsidRPr="003722A1">
        <w:rPr>
          <w:rFonts w:ascii="Cambria" w:hAnsi="Cambria" w:cs="Calibri"/>
          <w:sz w:val="24"/>
          <w:szCs w:val="24"/>
          <w:lang w:val="cs-CZ"/>
        </w:rPr>
        <w:t xml:space="preserve"> odposlech telefonních rozhovorů na období třiceti dnů. Od 27. září do 24 října 2004 oddělení pro odhalování podvodů </w:t>
      </w:r>
      <w:r w:rsidR="005377A4" w:rsidRPr="003722A1">
        <w:rPr>
          <w:rFonts w:ascii="Cambria" w:hAnsi="Cambria" w:cs="Calibri"/>
          <w:sz w:val="24"/>
          <w:szCs w:val="24"/>
          <w:lang w:val="cs-CZ"/>
        </w:rPr>
        <w:t xml:space="preserve">tak </w:t>
      </w:r>
      <w:r w:rsidR="00DA49D8" w:rsidRPr="003722A1">
        <w:rPr>
          <w:rFonts w:ascii="Cambria" w:hAnsi="Cambria" w:cs="Calibri"/>
          <w:sz w:val="24"/>
          <w:szCs w:val="24"/>
          <w:lang w:val="cs-CZ"/>
        </w:rPr>
        <w:t xml:space="preserve">odposlechlo a nahrálo rozhovory </w:t>
      </w:r>
      <w:proofErr w:type="gramStart"/>
      <w:r w:rsidR="00DA49D8" w:rsidRPr="003722A1">
        <w:rPr>
          <w:rFonts w:ascii="Cambria" w:hAnsi="Cambria" w:cs="Calibri"/>
          <w:sz w:val="24"/>
          <w:szCs w:val="24"/>
          <w:lang w:val="cs-CZ"/>
        </w:rPr>
        <w:t>C.I., včetně</w:t>
      </w:r>
      <w:proofErr w:type="gramEnd"/>
      <w:r w:rsidR="00DA49D8" w:rsidRPr="003722A1">
        <w:rPr>
          <w:rFonts w:ascii="Cambria" w:hAnsi="Cambria" w:cs="Calibri"/>
          <w:sz w:val="24"/>
          <w:szCs w:val="24"/>
          <w:lang w:val="cs-CZ"/>
        </w:rPr>
        <w:t xml:space="preserve"> dvanácti rozhovorů</w:t>
      </w:r>
      <w:r w:rsidR="005377A4" w:rsidRPr="003722A1">
        <w:rPr>
          <w:rFonts w:ascii="Cambria" w:hAnsi="Cambria" w:cs="Calibri"/>
          <w:sz w:val="24"/>
          <w:szCs w:val="24"/>
          <w:lang w:val="cs-CZ"/>
        </w:rPr>
        <w:t>, které byly uskutečněny</w:t>
      </w:r>
      <w:r w:rsidR="00DA49D8" w:rsidRPr="003722A1">
        <w:rPr>
          <w:rFonts w:ascii="Cambria" w:hAnsi="Cambria" w:cs="Calibri"/>
          <w:sz w:val="24"/>
          <w:szCs w:val="24"/>
          <w:lang w:val="cs-CZ"/>
        </w:rPr>
        <w:t xml:space="preserve"> se stěžovatelem. Dne 21. března 2005 okresní soud rozhodl, že nahrávky byly relevantní pro trestní věc</w:t>
      </w:r>
      <w:r w:rsidR="00DA49D8">
        <w:rPr>
          <w:rFonts w:ascii="Cambria" w:hAnsi="Cambria" w:cs="Calibri"/>
          <w:sz w:val="24"/>
          <w:szCs w:val="24"/>
          <w:lang w:val="cs-CZ"/>
        </w:rPr>
        <w:t xml:space="preserve"> proti </w:t>
      </w:r>
      <w:proofErr w:type="gramStart"/>
      <w:r w:rsidR="00DA49D8">
        <w:rPr>
          <w:rFonts w:ascii="Cambria" w:hAnsi="Cambria" w:cs="Calibri"/>
          <w:sz w:val="24"/>
          <w:szCs w:val="24"/>
          <w:lang w:val="cs-CZ"/>
        </w:rPr>
        <w:t>C.I. a nařídil</w:t>
      </w:r>
      <w:proofErr w:type="gramEnd"/>
      <w:r w:rsidR="00FE4D35">
        <w:rPr>
          <w:rFonts w:ascii="Cambria" w:hAnsi="Cambria" w:cs="Calibri"/>
          <w:sz w:val="24"/>
          <w:szCs w:val="24"/>
          <w:lang w:val="cs-CZ"/>
        </w:rPr>
        <w:t xml:space="preserve"> jejich zajištění</w:t>
      </w:r>
      <w:r w:rsidR="00DA49D8">
        <w:rPr>
          <w:rFonts w:ascii="Cambria" w:hAnsi="Cambria" w:cs="Calibri"/>
          <w:sz w:val="24"/>
          <w:szCs w:val="24"/>
          <w:lang w:val="cs-CZ"/>
        </w:rPr>
        <w:t xml:space="preserve">. Stěžovatel a </w:t>
      </w:r>
      <w:proofErr w:type="gramStart"/>
      <w:r w:rsidR="00DA49D8">
        <w:rPr>
          <w:rFonts w:ascii="Cambria" w:hAnsi="Cambria" w:cs="Calibri"/>
          <w:sz w:val="24"/>
          <w:szCs w:val="24"/>
          <w:lang w:val="cs-CZ"/>
        </w:rPr>
        <w:t>C.I. se</w:t>
      </w:r>
      <w:proofErr w:type="gramEnd"/>
      <w:r w:rsidR="00DA49D8">
        <w:rPr>
          <w:rFonts w:ascii="Cambria" w:hAnsi="Cambria" w:cs="Calibri"/>
          <w:sz w:val="24"/>
          <w:szCs w:val="24"/>
          <w:lang w:val="cs-CZ"/>
        </w:rPr>
        <w:t xml:space="preserve"> p</w:t>
      </w:r>
      <w:r w:rsidR="000539B2">
        <w:rPr>
          <w:rFonts w:ascii="Cambria" w:hAnsi="Cambria" w:cs="Calibri"/>
          <w:sz w:val="24"/>
          <w:szCs w:val="24"/>
          <w:lang w:val="cs-CZ"/>
        </w:rPr>
        <w:t>roti tomuto rozhodnutí odvolali, ale jejich odvolání byla zamítnuta.</w:t>
      </w:r>
    </w:p>
    <w:p w14:paraId="2E93DD7D" w14:textId="00D24377" w:rsidR="000539B2" w:rsidRPr="005377A4" w:rsidRDefault="000539B2" w:rsidP="000539B2">
      <w:pPr>
        <w:autoSpaceDE w:val="0"/>
        <w:autoSpaceDN w:val="0"/>
        <w:adjustRightInd w:val="0"/>
        <w:spacing w:before="120" w:after="120" w:line="240" w:lineRule="auto"/>
        <w:ind w:firstLine="284"/>
        <w:jc w:val="both"/>
        <w:rPr>
          <w:rFonts w:ascii="Cambria" w:hAnsi="Cambria" w:cs="Calibri"/>
          <w:sz w:val="24"/>
          <w:szCs w:val="24"/>
          <w:lang w:val="cs-CZ"/>
        </w:rPr>
      </w:pPr>
      <w:r w:rsidRPr="005377A4">
        <w:rPr>
          <w:rFonts w:ascii="Cambria" w:hAnsi="Cambria" w:cs="Calibri"/>
          <w:sz w:val="24"/>
          <w:szCs w:val="24"/>
          <w:lang w:val="cs-CZ"/>
        </w:rPr>
        <w:t>Před ESLP stěžovatel namítal porušení článku 8 Úmluvy.</w:t>
      </w:r>
    </w:p>
    <w:p w14:paraId="2175A48B" w14:textId="2AF0D585" w:rsidR="00FE4D35" w:rsidRDefault="005377A4" w:rsidP="00330536">
      <w:pPr>
        <w:autoSpaceDE w:val="0"/>
        <w:autoSpaceDN w:val="0"/>
        <w:adjustRightInd w:val="0"/>
        <w:spacing w:before="120" w:after="120" w:line="240" w:lineRule="auto"/>
        <w:ind w:firstLine="284"/>
        <w:jc w:val="both"/>
        <w:rPr>
          <w:rFonts w:ascii="Cambria" w:hAnsi="Cambria" w:cs="Arial"/>
          <w:color w:val="222222"/>
          <w:sz w:val="24"/>
          <w:szCs w:val="24"/>
          <w:lang w:val="cs-CZ"/>
        </w:rPr>
      </w:pPr>
      <w:r w:rsidRPr="005377A4">
        <w:rPr>
          <w:rFonts w:ascii="Cambria" w:hAnsi="Cambria" w:cs="Calibri"/>
          <w:sz w:val="24"/>
          <w:szCs w:val="24"/>
          <w:lang w:val="cs-CZ"/>
        </w:rPr>
        <w:t xml:space="preserve">ESLP </w:t>
      </w:r>
      <w:r w:rsidR="00202FDE" w:rsidRPr="005377A4">
        <w:rPr>
          <w:rFonts w:ascii="Cambria" w:hAnsi="Cambria" w:cs="Arial"/>
          <w:color w:val="222222"/>
          <w:sz w:val="24"/>
          <w:szCs w:val="24"/>
          <w:lang w:val="cs-CZ"/>
        </w:rPr>
        <w:t>zdůr</w:t>
      </w:r>
      <w:r>
        <w:rPr>
          <w:rFonts w:ascii="Cambria" w:hAnsi="Cambria" w:cs="Arial"/>
          <w:color w:val="222222"/>
          <w:sz w:val="24"/>
          <w:szCs w:val="24"/>
          <w:lang w:val="cs-CZ"/>
        </w:rPr>
        <w:t>aznil, že telefonní komunikace spadají pod pojem „</w:t>
      </w:r>
      <w:r w:rsidR="00202FDE" w:rsidRPr="005377A4">
        <w:rPr>
          <w:rFonts w:ascii="Cambria" w:hAnsi="Cambria" w:cs="Arial"/>
          <w:color w:val="222222"/>
          <w:sz w:val="24"/>
          <w:szCs w:val="24"/>
          <w:lang w:val="cs-CZ"/>
        </w:rPr>
        <w:t>soukromého života</w:t>
      </w:r>
      <w:r>
        <w:rPr>
          <w:rFonts w:ascii="Cambria" w:hAnsi="Cambria" w:cs="Arial"/>
          <w:color w:val="222222"/>
          <w:sz w:val="24"/>
          <w:szCs w:val="24"/>
          <w:lang w:val="cs-CZ"/>
        </w:rPr>
        <w:t>“</w:t>
      </w:r>
      <w:r w:rsidR="00202FDE" w:rsidRPr="005377A4">
        <w:rPr>
          <w:rFonts w:ascii="Cambria" w:hAnsi="Cambria" w:cs="Arial"/>
          <w:color w:val="222222"/>
          <w:sz w:val="24"/>
          <w:szCs w:val="24"/>
          <w:lang w:val="cs-CZ"/>
        </w:rPr>
        <w:t xml:space="preserve"> a </w:t>
      </w:r>
      <w:r w:rsidR="00CE2763">
        <w:rPr>
          <w:rFonts w:ascii="Cambria" w:hAnsi="Cambria" w:cs="Arial"/>
          <w:color w:val="222222"/>
          <w:sz w:val="24"/>
          <w:szCs w:val="24"/>
          <w:lang w:val="cs-CZ"/>
        </w:rPr>
        <w:t>„</w:t>
      </w:r>
      <w:r w:rsidR="00202FDE" w:rsidRPr="005377A4">
        <w:rPr>
          <w:rFonts w:ascii="Cambria" w:hAnsi="Cambria" w:cs="Arial"/>
          <w:color w:val="222222"/>
          <w:sz w:val="24"/>
          <w:szCs w:val="24"/>
          <w:lang w:val="cs-CZ"/>
        </w:rPr>
        <w:t>kor</w:t>
      </w:r>
      <w:r w:rsidR="00CE2763">
        <w:rPr>
          <w:rFonts w:ascii="Cambria" w:hAnsi="Cambria" w:cs="Arial"/>
          <w:color w:val="222222"/>
          <w:sz w:val="24"/>
          <w:szCs w:val="24"/>
          <w:lang w:val="cs-CZ"/>
        </w:rPr>
        <w:t xml:space="preserve">espondence“ ve smyslu článku 8 odst. 1 Úmluvy a odposlech telefonních hovorů je proto „zásahem </w:t>
      </w:r>
      <w:r w:rsidR="00202FDE" w:rsidRPr="005377A4">
        <w:rPr>
          <w:rFonts w:ascii="Cambria" w:hAnsi="Cambria" w:cs="Arial"/>
          <w:color w:val="222222"/>
          <w:sz w:val="24"/>
          <w:szCs w:val="24"/>
          <w:lang w:val="cs-CZ"/>
        </w:rPr>
        <w:t>orgán</w:t>
      </w:r>
      <w:r w:rsidR="00CE2763">
        <w:rPr>
          <w:rFonts w:ascii="Cambria" w:hAnsi="Cambria" w:cs="Arial"/>
          <w:color w:val="222222"/>
          <w:sz w:val="24"/>
          <w:szCs w:val="24"/>
          <w:lang w:val="cs-CZ"/>
        </w:rPr>
        <w:t>u</w:t>
      </w:r>
      <w:r w:rsidR="00202FDE" w:rsidRPr="005377A4">
        <w:rPr>
          <w:rFonts w:ascii="Cambria" w:hAnsi="Cambria" w:cs="Arial"/>
          <w:color w:val="222222"/>
          <w:sz w:val="24"/>
          <w:szCs w:val="24"/>
          <w:lang w:val="cs-CZ"/>
        </w:rPr>
        <w:t xml:space="preserve"> veřejné moci</w:t>
      </w:r>
      <w:r w:rsidR="00CE2763">
        <w:rPr>
          <w:rFonts w:ascii="Cambria" w:hAnsi="Cambria" w:cs="Arial"/>
          <w:color w:val="222222"/>
          <w:sz w:val="24"/>
          <w:szCs w:val="24"/>
          <w:lang w:val="cs-CZ"/>
        </w:rPr>
        <w:t xml:space="preserve">“ </w:t>
      </w:r>
      <w:r w:rsidR="00202FDE" w:rsidRPr="005377A4">
        <w:rPr>
          <w:rFonts w:ascii="Cambria" w:hAnsi="Cambria" w:cs="Arial"/>
          <w:color w:val="222222"/>
          <w:sz w:val="24"/>
          <w:szCs w:val="24"/>
          <w:lang w:val="cs-CZ"/>
        </w:rPr>
        <w:t>při výkonu práva zaručeného článkem 8 Úmluvy</w:t>
      </w:r>
      <w:r w:rsidR="00FE4D35">
        <w:rPr>
          <w:rFonts w:ascii="Cambria" w:hAnsi="Cambria" w:cs="Arial"/>
          <w:color w:val="222222"/>
          <w:sz w:val="24"/>
          <w:szCs w:val="24"/>
          <w:lang w:val="cs-CZ"/>
        </w:rPr>
        <w:t>, a to bez</w:t>
      </w:r>
      <w:r w:rsidR="00202FDE" w:rsidRPr="005377A4">
        <w:rPr>
          <w:rFonts w:ascii="Cambria" w:hAnsi="Cambria" w:cs="Arial"/>
          <w:color w:val="222222"/>
          <w:sz w:val="24"/>
          <w:szCs w:val="24"/>
          <w:lang w:val="cs-CZ"/>
        </w:rPr>
        <w:t xml:space="preserve"> ohledu na to, že </w:t>
      </w:r>
      <w:r w:rsidR="00FE4D35">
        <w:rPr>
          <w:rFonts w:ascii="Cambria" w:hAnsi="Cambria" w:cs="Arial"/>
          <w:color w:val="222222"/>
          <w:sz w:val="24"/>
          <w:szCs w:val="24"/>
          <w:lang w:val="cs-CZ"/>
        </w:rPr>
        <w:t>odposlech sporných</w:t>
      </w:r>
      <w:r w:rsidR="00202FDE" w:rsidRPr="005377A4">
        <w:rPr>
          <w:rFonts w:ascii="Cambria" w:hAnsi="Cambria" w:cs="Arial"/>
          <w:color w:val="222222"/>
          <w:sz w:val="24"/>
          <w:szCs w:val="24"/>
          <w:lang w:val="cs-CZ"/>
        </w:rPr>
        <w:t xml:space="preserve"> </w:t>
      </w:r>
      <w:r w:rsidR="00CE2763">
        <w:rPr>
          <w:rFonts w:ascii="Cambria" w:hAnsi="Cambria" w:cs="Arial"/>
          <w:color w:val="222222"/>
          <w:sz w:val="24"/>
          <w:szCs w:val="24"/>
          <w:lang w:val="cs-CZ"/>
        </w:rPr>
        <w:t>hovor</w:t>
      </w:r>
      <w:r w:rsidR="00FE4D35">
        <w:rPr>
          <w:rFonts w:ascii="Cambria" w:hAnsi="Cambria" w:cs="Arial"/>
          <w:color w:val="222222"/>
          <w:sz w:val="24"/>
          <w:szCs w:val="24"/>
          <w:lang w:val="cs-CZ"/>
        </w:rPr>
        <w:t>ů byl</w:t>
      </w:r>
      <w:r w:rsidR="00202FDE" w:rsidRPr="005377A4">
        <w:rPr>
          <w:rFonts w:ascii="Cambria" w:hAnsi="Cambria" w:cs="Arial"/>
          <w:color w:val="222222"/>
          <w:sz w:val="24"/>
          <w:szCs w:val="24"/>
          <w:lang w:val="cs-CZ"/>
        </w:rPr>
        <w:t xml:space="preserve"> proveden na lince třetí </w:t>
      </w:r>
      <w:r w:rsidR="00CE2763">
        <w:rPr>
          <w:rFonts w:ascii="Cambria" w:hAnsi="Cambria" w:cs="Arial"/>
          <w:color w:val="222222"/>
          <w:sz w:val="24"/>
          <w:szCs w:val="24"/>
          <w:lang w:val="cs-CZ"/>
        </w:rPr>
        <w:t>osoby</w:t>
      </w:r>
      <w:r w:rsidR="00FE4D35">
        <w:rPr>
          <w:rFonts w:ascii="Cambria" w:hAnsi="Cambria" w:cs="Arial"/>
          <w:color w:val="222222"/>
          <w:sz w:val="24"/>
          <w:szCs w:val="24"/>
          <w:lang w:val="cs-CZ"/>
        </w:rPr>
        <w:t xml:space="preserve">. Připomněl, že zásah není v rozporu s ustanovením článku 8 odst. 1 Úmluvy, pokud je zákonný, sleduje legitimní cíl a je nezbytný v demokratické společnosti. ESLP se nejprve zabýval otázkou, zda sporný zákon byl stěžovateli přístupný a zda byl schopen předvídat možné důsledky. V daném případě okresní soud nařídil odposlech telefonních hovorů s odkazem na § 911 a násl. trestního řádu. </w:t>
      </w:r>
      <w:r w:rsidR="00865A77">
        <w:rPr>
          <w:rFonts w:ascii="Cambria" w:hAnsi="Cambria" w:cs="Arial"/>
          <w:color w:val="222222"/>
          <w:sz w:val="24"/>
          <w:szCs w:val="24"/>
          <w:lang w:val="cs-CZ"/>
        </w:rPr>
        <w:t>ESLP uvedl, že</w:t>
      </w:r>
      <w:r w:rsidR="00FE4D35" w:rsidRPr="00FE4D35">
        <w:rPr>
          <w:rFonts w:ascii="Cambria" w:hAnsi="Cambria" w:cs="Arial"/>
          <w:color w:val="222222"/>
          <w:sz w:val="24"/>
          <w:szCs w:val="24"/>
          <w:lang w:val="cs-CZ"/>
        </w:rPr>
        <w:t xml:space="preserve"> </w:t>
      </w:r>
      <w:r w:rsidR="00865A77">
        <w:rPr>
          <w:rFonts w:ascii="Cambria" w:hAnsi="Cambria" w:cs="Arial"/>
          <w:color w:val="222222"/>
          <w:sz w:val="24"/>
          <w:szCs w:val="24"/>
          <w:lang w:val="cs-CZ"/>
        </w:rPr>
        <w:t xml:space="preserve">daná </w:t>
      </w:r>
      <w:r w:rsidR="00FE4D35">
        <w:rPr>
          <w:rFonts w:ascii="Cambria" w:hAnsi="Cambria" w:cs="Arial"/>
          <w:color w:val="222222"/>
          <w:sz w:val="24"/>
          <w:szCs w:val="24"/>
          <w:lang w:val="cs-CZ"/>
        </w:rPr>
        <w:t>ustanovení</w:t>
      </w:r>
      <w:r w:rsidR="00865A77">
        <w:rPr>
          <w:rFonts w:ascii="Cambria" w:hAnsi="Cambria" w:cs="Arial"/>
          <w:color w:val="222222"/>
          <w:sz w:val="24"/>
          <w:szCs w:val="24"/>
          <w:lang w:val="cs-CZ"/>
        </w:rPr>
        <w:t xml:space="preserve"> upravují použití odposlechů telefonních hovorů, podmínky, kdy je možno je nařídit, aniž by se však blíže zabývala situacemi osob, které jsou odposlechy dotčeny, ale proti nimž nebyly nařízeny. Navíc otázka předvídatelnosti možných důsledků byla rozporována účastníky řízení.</w:t>
      </w:r>
    </w:p>
    <w:p w14:paraId="3CF01988" w14:textId="26E11E2A" w:rsidR="005F1286" w:rsidRDefault="00CE6937" w:rsidP="005F1286">
      <w:pPr>
        <w:autoSpaceDE w:val="0"/>
        <w:autoSpaceDN w:val="0"/>
        <w:adjustRightInd w:val="0"/>
        <w:spacing w:before="120" w:after="120" w:line="240" w:lineRule="auto"/>
        <w:ind w:firstLine="284"/>
        <w:jc w:val="both"/>
        <w:rPr>
          <w:rFonts w:ascii="Cambria" w:hAnsi="Cambria" w:cs="Arial"/>
          <w:color w:val="222222"/>
          <w:sz w:val="24"/>
          <w:szCs w:val="24"/>
          <w:lang w:val="cs-CZ"/>
        </w:rPr>
      </w:pPr>
      <w:r>
        <w:rPr>
          <w:rFonts w:ascii="Cambria" w:hAnsi="Cambria" w:cs="Arial"/>
          <w:color w:val="222222"/>
          <w:sz w:val="24"/>
          <w:szCs w:val="24"/>
          <w:lang w:val="cs-CZ"/>
        </w:rPr>
        <w:t>ESLP konstatoval, že cílem zásahu bylo zjištění pravdy v trestním řízení, tedy ochrana veřejného pořádku.</w:t>
      </w:r>
      <w:r w:rsidR="00980D96">
        <w:rPr>
          <w:rFonts w:ascii="Cambria" w:hAnsi="Cambria" w:cs="Arial"/>
          <w:color w:val="222222"/>
          <w:sz w:val="24"/>
          <w:szCs w:val="24"/>
          <w:lang w:val="cs-CZ"/>
        </w:rPr>
        <w:t xml:space="preserve"> Pokud šlo o otázku, zda byl zásah „nezbytný v demokratické společnosti“ k dosažení tohoto cíle, ESLP připomněl, že smluvní strany disponují širokou mírou uvážení při posuzování, zda je nutné k odposlechu přistoupit, pod podmínkou, že bude pod kontrolou nezávislého soudu. Podle názoru stěžovatele, odposlech telefonních hovorů s jeho klientem zasáhly do jeho postavení právního zástupce. ESLP v této souvislosti připomněl, že odposlech rozhovorů advokáta s jeho klientem nezbytně zahrnuje profesionální </w:t>
      </w:r>
      <w:r w:rsidR="005F1286">
        <w:rPr>
          <w:rFonts w:ascii="Cambria" w:hAnsi="Cambria" w:cs="Arial"/>
          <w:color w:val="222222"/>
          <w:sz w:val="24"/>
          <w:szCs w:val="24"/>
          <w:lang w:val="cs-CZ"/>
        </w:rPr>
        <w:t xml:space="preserve">mlčenlivost, jež je základem pro důvěru, která musí mezi advokátem a jeho klientem být. V dané záležitosti stěžovatel mohl </w:t>
      </w:r>
      <w:r w:rsidR="00EF0A2B">
        <w:rPr>
          <w:rFonts w:ascii="Cambria" w:hAnsi="Cambria" w:cs="Arial"/>
          <w:color w:val="222222"/>
          <w:sz w:val="24"/>
          <w:szCs w:val="24"/>
          <w:lang w:val="cs-CZ"/>
        </w:rPr>
        <w:t xml:space="preserve">též </w:t>
      </w:r>
      <w:r w:rsidR="005F1286">
        <w:rPr>
          <w:rFonts w:ascii="Cambria" w:hAnsi="Cambria" w:cs="Arial"/>
          <w:color w:val="222222"/>
          <w:sz w:val="24"/>
          <w:szCs w:val="24"/>
          <w:lang w:val="cs-CZ"/>
        </w:rPr>
        <w:t xml:space="preserve">namítat, že došlo k zásahu do jeho práva na respektování jeho soukromého života a korespondence nezávisle na jeho postavení advokáta. </w:t>
      </w:r>
      <w:r w:rsidR="00EF0A2B">
        <w:rPr>
          <w:rFonts w:ascii="Cambria" w:hAnsi="Cambria" w:cs="Arial"/>
          <w:color w:val="222222"/>
          <w:sz w:val="24"/>
          <w:szCs w:val="24"/>
          <w:lang w:val="cs-CZ"/>
        </w:rPr>
        <w:t>Přestože odposlech telefonních hovorů byl nařízen soudem, netýkal se stěžovatele, a proto tato ochrana nebyla dostatečná.</w:t>
      </w:r>
    </w:p>
    <w:p w14:paraId="76F72A52" w14:textId="68712552" w:rsidR="00695040" w:rsidRDefault="00695040" w:rsidP="005F1286">
      <w:pPr>
        <w:autoSpaceDE w:val="0"/>
        <w:autoSpaceDN w:val="0"/>
        <w:adjustRightInd w:val="0"/>
        <w:spacing w:before="120" w:after="120" w:line="240" w:lineRule="auto"/>
        <w:ind w:firstLine="284"/>
        <w:jc w:val="both"/>
        <w:rPr>
          <w:rFonts w:ascii="Cambria" w:hAnsi="Cambria" w:cs="Arial"/>
          <w:color w:val="222222"/>
          <w:sz w:val="24"/>
          <w:szCs w:val="24"/>
          <w:lang w:val="cs-CZ"/>
        </w:rPr>
      </w:pPr>
      <w:r>
        <w:rPr>
          <w:rFonts w:ascii="Cambria" w:hAnsi="Cambria" w:cs="Arial"/>
          <w:color w:val="222222"/>
          <w:sz w:val="24"/>
          <w:szCs w:val="24"/>
          <w:lang w:val="cs-CZ"/>
        </w:rPr>
        <w:t>Pokud šlo o to, zda měl k dispozici účinný právní prostředek, ESLP podotkl, že v dané době</w:t>
      </w:r>
      <w:r w:rsidR="002554D3">
        <w:rPr>
          <w:rFonts w:ascii="Cambria" w:hAnsi="Cambria" w:cs="Arial"/>
          <w:color w:val="222222"/>
          <w:sz w:val="24"/>
          <w:szCs w:val="24"/>
          <w:lang w:val="cs-CZ"/>
        </w:rPr>
        <w:t xml:space="preserve"> záznamy s</w:t>
      </w:r>
      <w:r>
        <w:rPr>
          <w:rFonts w:ascii="Cambria" w:hAnsi="Cambria" w:cs="Arial"/>
          <w:color w:val="222222"/>
          <w:sz w:val="24"/>
          <w:szCs w:val="24"/>
          <w:lang w:val="cs-CZ"/>
        </w:rPr>
        <w:t xml:space="preserve"> odposlechy musely být potvrzeny soudem v rámci řízení v přítomnosti dotčené osoby.</w:t>
      </w:r>
      <w:r w:rsidR="002554D3">
        <w:rPr>
          <w:rFonts w:ascii="Cambria" w:hAnsi="Cambria" w:cs="Arial"/>
          <w:color w:val="222222"/>
          <w:sz w:val="24"/>
          <w:szCs w:val="24"/>
          <w:lang w:val="cs-CZ"/>
        </w:rPr>
        <w:t xml:space="preserve"> V rámci tohoto řízení soud měl prověřit jejich relevanci a rozhodnout, zda budou zahrnuty do trestního spisu nebo zničeny. Podle tvrzení vlády, ustanovení § 913 odst. 7 trestního řádu se v daném případě neaplikoval, neboť </w:t>
      </w:r>
      <w:proofErr w:type="gramStart"/>
      <w:r w:rsidR="002554D3">
        <w:rPr>
          <w:rFonts w:ascii="Cambria" w:hAnsi="Cambria" w:cs="Arial"/>
          <w:color w:val="222222"/>
          <w:sz w:val="24"/>
          <w:szCs w:val="24"/>
          <w:lang w:val="cs-CZ"/>
        </w:rPr>
        <w:t>C.I. nebyl</w:t>
      </w:r>
      <w:proofErr w:type="gramEnd"/>
      <w:r w:rsidR="002554D3">
        <w:rPr>
          <w:rFonts w:ascii="Cambria" w:hAnsi="Cambria" w:cs="Arial"/>
          <w:color w:val="222222"/>
          <w:sz w:val="24"/>
          <w:szCs w:val="24"/>
          <w:lang w:val="cs-CZ"/>
        </w:rPr>
        <w:t xml:space="preserve"> v postavení obviněného. Text zákona přímo nehovořil o „obviněném“ jako o osobě, která je </w:t>
      </w:r>
      <w:r w:rsidR="002554D3">
        <w:rPr>
          <w:rFonts w:ascii="Cambria" w:hAnsi="Cambria" w:cs="Arial"/>
          <w:color w:val="222222"/>
          <w:sz w:val="24"/>
          <w:szCs w:val="24"/>
          <w:lang w:val="cs-CZ"/>
        </w:rPr>
        <w:lastRenderedPageBreak/>
        <w:t>předmětem odposlechu, nýbrž použil termín „osoba podléhající soudu“. Ať už byl výklad tohoto termínu jakýkoli, ESLP podotkl, že stěžovatel, jehož telefonní rozhovory byly pokládány za „užitečné“ a zahrnuty do trestního spisu, nemohl v rámci řízení o připuštění záznamů do trestního spisu nijak zasáhnout. Nemohl tedy nechat prověřit zákonnost a nezbytnost záznamů ani žádat, aby byly porovnány zájmy spravedlnosti s jeho zájmem na respektování jeho soukromého života a korespondence.</w:t>
      </w:r>
      <w:r w:rsidR="001A5FC2">
        <w:rPr>
          <w:rFonts w:ascii="Cambria" w:hAnsi="Cambria" w:cs="Arial"/>
          <w:color w:val="222222"/>
          <w:sz w:val="24"/>
          <w:szCs w:val="24"/>
          <w:lang w:val="cs-CZ"/>
        </w:rPr>
        <w:t xml:space="preserve"> Nadto možnost podat námitku v rámci trestních řízení vedených proti jiným osobám, které stěžovatel zastupoval, ESLP nepovažoval než za nepřímou.</w:t>
      </w:r>
    </w:p>
    <w:p w14:paraId="6941954A" w14:textId="0DB72A9C" w:rsidR="001A5FC2" w:rsidRDefault="001A5FC2" w:rsidP="005F1286">
      <w:pPr>
        <w:autoSpaceDE w:val="0"/>
        <w:autoSpaceDN w:val="0"/>
        <w:adjustRightInd w:val="0"/>
        <w:spacing w:before="120" w:after="120" w:line="240" w:lineRule="auto"/>
        <w:ind w:firstLine="284"/>
        <w:jc w:val="both"/>
        <w:rPr>
          <w:rFonts w:ascii="Cambria" w:hAnsi="Cambria" w:cs="Arial"/>
          <w:color w:val="222222"/>
          <w:sz w:val="24"/>
          <w:szCs w:val="24"/>
          <w:lang w:val="cs-CZ"/>
        </w:rPr>
      </w:pPr>
      <w:r>
        <w:rPr>
          <w:rFonts w:ascii="Cambria" w:hAnsi="Cambria" w:cs="Arial"/>
          <w:color w:val="222222"/>
          <w:sz w:val="24"/>
          <w:szCs w:val="24"/>
          <w:lang w:val="cs-CZ"/>
        </w:rPr>
        <w:t>ESLP nepřijal za přesvědčivý ani argument vlády, že stěžovatel mohl podat žalobu na náhradu škody. I když je Úmluva přímo aplikovatelná a lze se o ní opřít při námitkách na neslučitelnost vnitrostátních právních ustanovení, vláda neposkytla žádný příklad soudní praxe, která by prokázala účinnost tohoto právního prostředku nápravy.</w:t>
      </w:r>
    </w:p>
    <w:p w14:paraId="0DCCD017" w14:textId="0FB7D893" w:rsidR="00F302AB" w:rsidRPr="00A54B13" w:rsidRDefault="00F302AB" w:rsidP="005F1286">
      <w:pPr>
        <w:autoSpaceDE w:val="0"/>
        <w:autoSpaceDN w:val="0"/>
        <w:adjustRightInd w:val="0"/>
        <w:spacing w:before="120" w:after="120" w:line="240" w:lineRule="auto"/>
        <w:ind w:firstLine="284"/>
        <w:jc w:val="both"/>
        <w:rPr>
          <w:rFonts w:ascii="Cambria" w:hAnsi="Cambria" w:cs="Arial"/>
          <w:color w:val="222222"/>
          <w:sz w:val="24"/>
          <w:szCs w:val="24"/>
        </w:rPr>
      </w:pPr>
      <w:r>
        <w:rPr>
          <w:rFonts w:ascii="Cambria" w:hAnsi="Cambria" w:cs="Arial"/>
          <w:color w:val="222222"/>
          <w:sz w:val="24"/>
          <w:szCs w:val="24"/>
          <w:lang w:val="cs-CZ"/>
        </w:rPr>
        <w:t>ESLP tak judikoval, že zásah v tomto případě nebyl přiměřený ke sledovanému cíli a že tak stěžovatel neměl k dispozici „účinnou kontrolu“ požadovanou přednostním postavením práva, která by mohla zásah omezit tak, aby byl „nezbytná v demokratické společnosti“. Došlo proto k porušení ustanovení článku 8 Úmluvy.</w:t>
      </w:r>
    </w:p>
    <w:sectPr w:rsidR="00F302AB" w:rsidRPr="00A54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E6533"/>
    <w:multiLevelType w:val="hybridMultilevel"/>
    <w:tmpl w:val="9F9A57FC"/>
    <w:lvl w:ilvl="0" w:tplc="706C83B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F68"/>
    <w:rsid w:val="0001062F"/>
    <w:rsid w:val="00013641"/>
    <w:rsid w:val="0001651E"/>
    <w:rsid w:val="000539B2"/>
    <w:rsid w:val="00064AD5"/>
    <w:rsid w:val="00072557"/>
    <w:rsid w:val="000A08EC"/>
    <w:rsid w:val="000A7EC7"/>
    <w:rsid w:val="000C6140"/>
    <w:rsid w:val="000C7895"/>
    <w:rsid w:val="00100CA5"/>
    <w:rsid w:val="0010198F"/>
    <w:rsid w:val="00117932"/>
    <w:rsid w:val="00142234"/>
    <w:rsid w:val="0016313E"/>
    <w:rsid w:val="001A5FC2"/>
    <w:rsid w:val="001D7BDD"/>
    <w:rsid w:val="00202BFB"/>
    <w:rsid w:val="00202FDE"/>
    <w:rsid w:val="00226513"/>
    <w:rsid w:val="002554D3"/>
    <w:rsid w:val="00295334"/>
    <w:rsid w:val="002A55C0"/>
    <w:rsid w:val="002A6E96"/>
    <w:rsid w:val="002B72D7"/>
    <w:rsid w:val="002C0846"/>
    <w:rsid w:val="002E08DB"/>
    <w:rsid w:val="0030002E"/>
    <w:rsid w:val="00304477"/>
    <w:rsid w:val="003066B9"/>
    <w:rsid w:val="003071C4"/>
    <w:rsid w:val="00330536"/>
    <w:rsid w:val="00347E2A"/>
    <w:rsid w:val="003722A1"/>
    <w:rsid w:val="0038157F"/>
    <w:rsid w:val="003819C4"/>
    <w:rsid w:val="00390E01"/>
    <w:rsid w:val="003A2C55"/>
    <w:rsid w:val="003C4A1F"/>
    <w:rsid w:val="003E3354"/>
    <w:rsid w:val="004307EA"/>
    <w:rsid w:val="00444628"/>
    <w:rsid w:val="00450B1C"/>
    <w:rsid w:val="00452496"/>
    <w:rsid w:val="00467E79"/>
    <w:rsid w:val="004773FA"/>
    <w:rsid w:val="004818C6"/>
    <w:rsid w:val="00497004"/>
    <w:rsid w:val="004A3C65"/>
    <w:rsid w:val="004B16B7"/>
    <w:rsid w:val="004E2F04"/>
    <w:rsid w:val="004F65A5"/>
    <w:rsid w:val="00511673"/>
    <w:rsid w:val="00526115"/>
    <w:rsid w:val="005377A4"/>
    <w:rsid w:val="005B2F68"/>
    <w:rsid w:val="005C0381"/>
    <w:rsid w:val="005C2B95"/>
    <w:rsid w:val="005F1286"/>
    <w:rsid w:val="00632944"/>
    <w:rsid w:val="00646F17"/>
    <w:rsid w:val="00671319"/>
    <w:rsid w:val="00695040"/>
    <w:rsid w:val="006B7641"/>
    <w:rsid w:val="006C427E"/>
    <w:rsid w:val="006D7AC1"/>
    <w:rsid w:val="007129F2"/>
    <w:rsid w:val="0076610E"/>
    <w:rsid w:val="0078767F"/>
    <w:rsid w:val="007A3DAA"/>
    <w:rsid w:val="007B0710"/>
    <w:rsid w:val="007C71BC"/>
    <w:rsid w:val="007D799E"/>
    <w:rsid w:val="00800B37"/>
    <w:rsid w:val="00804DC6"/>
    <w:rsid w:val="008155A4"/>
    <w:rsid w:val="0081756F"/>
    <w:rsid w:val="00830870"/>
    <w:rsid w:val="0085236C"/>
    <w:rsid w:val="008556B1"/>
    <w:rsid w:val="008559FA"/>
    <w:rsid w:val="00865A77"/>
    <w:rsid w:val="00870C25"/>
    <w:rsid w:val="008961F6"/>
    <w:rsid w:val="008B2D46"/>
    <w:rsid w:val="008C4793"/>
    <w:rsid w:val="008C62FC"/>
    <w:rsid w:val="00944749"/>
    <w:rsid w:val="00980898"/>
    <w:rsid w:val="00980D96"/>
    <w:rsid w:val="009A4517"/>
    <w:rsid w:val="009B086D"/>
    <w:rsid w:val="009C398C"/>
    <w:rsid w:val="009C622F"/>
    <w:rsid w:val="009E78CB"/>
    <w:rsid w:val="009F2F8F"/>
    <w:rsid w:val="00A53721"/>
    <w:rsid w:val="00A54B13"/>
    <w:rsid w:val="00A9524F"/>
    <w:rsid w:val="00A958E6"/>
    <w:rsid w:val="00A97C8C"/>
    <w:rsid w:val="00AA0917"/>
    <w:rsid w:val="00AB32E9"/>
    <w:rsid w:val="00AF7418"/>
    <w:rsid w:val="00B751E7"/>
    <w:rsid w:val="00B808C0"/>
    <w:rsid w:val="00B8531D"/>
    <w:rsid w:val="00B92287"/>
    <w:rsid w:val="00C319D3"/>
    <w:rsid w:val="00C36DC3"/>
    <w:rsid w:val="00C51B3A"/>
    <w:rsid w:val="00C65B49"/>
    <w:rsid w:val="00C72E0B"/>
    <w:rsid w:val="00CD1698"/>
    <w:rsid w:val="00CD3159"/>
    <w:rsid w:val="00CD544B"/>
    <w:rsid w:val="00CE2763"/>
    <w:rsid w:val="00CE6937"/>
    <w:rsid w:val="00D04FCD"/>
    <w:rsid w:val="00D2369A"/>
    <w:rsid w:val="00D3174C"/>
    <w:rsid w:val="00D85FD3"/>
    <w:rsid w:val="00DA49D8"/>
    <w:rsid w:val="00DD1838"/>
    <w:rsid w:val="00DE729E"/>
    <w:rsid w:val="00E105C5"/>
    <w:rsid w:val="00E2743B"/>
    <w:rsid w:val="00E5747A"/>
    <w:rsid w:val="00EB7982"/>
    <w:rsid w:val="00ED3A48"/>
    <w:rsid w:val="00EE0AE4"/>
    <w:rsid w:val="00EF0A2B"/>
    <w:rsid w:val="00EF520D"/>
    <w:rsid w:val="00EF7021"/>
    <w:rsid w:val="00F20772"/>
    <w:rsid w:val="00F302AB"/>
    <w:rsid w:val="00FC1B00"/>
    <w:rsid w:val="00FE22E8"/>
    <w:rsid w:val="00FE4D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30eec3f8">
    <w:name w:val="s30eec3f8"/>
    <w:basedOn w:val="Normln"/>
    <w:rsid w:val="0014223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evize">
    <w:name w:val="Revision"/>
    <w:hidden/>
    <w:uiPriority w:val="99"/>
    <w:semiHidden/>
    <w:rsid w:val="00B808C0"/>
    <w:pPr>
      <w:spacing w:after="0" w:line="240" w:lineRule="auto"/>
    </w:pPr>
  </w:style>
  <w:style w:type="paragraph" w:styleId="Textbubliny">
    <w:name w:val="Balloon Text"/>
    <w:basedOn w:val="Normln"/>
    <w:link w:val="TextbublinyChar"/>
    <w:uiPriority w:val="99"/>
    <w:semiHidden/>
    <w:unhideWhenUsed/>
    <w:rsid w:val="00B808C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08C0"/>
    <w:rPr>
      <w:rFonts w:ascii="Segoe UI" w:hAnsi="Segoe UI" w:cs="Segoe UI"/>
      <w:sz w:val="18"/>
      <w:szCs w:val="18"/>
    </w:rPr>
  </w:style>
  <w:style w:type="character" w:customStyle="1" w:styleId="sb8d990e2">
    <w:name w:val="sb8d990e2"/>
    <w:basedOn w:val="Standardnpsmoodstavce"/>
    <w:rsid w:val="00980D96"/>
  </w:style>
  <w:style w:type="character" w:customStyle="1" w:styleId="s6b621b36">
    <w:name w:val="s6b621b36"/>
    <w:basedOn w:val="Standardnpsmoodstavce"/>
    <w:rsid w:val="00980D96"/>
  </w:style>
  <w:style w:type="character" w:customStyle="1" w:styleId="sea881cdf">
    <w:name w:val="sea881cdf"/>
    <w:basedOn w:val="Standardnpsmoodstavce"/>
    <w:rsid w:val="00980D96"/>
  </w:style>
  <w:style w:type="character" w:styleId="Hypertextovodkaz">
    <w:name w:val="Hyperlink"/>
    <w:basedOn w:val="Standardnpsmoodstavce"/>
    <w:uiPriority w:val="99"/>
    <w:semiHidden/>
    <w:unhideWhenUsed/>
    <w:rsid w:val="00980D96"/>
    <w:rPr>
      <w:color w:val="0000FF"/>
      <w:u w:val="single"/>
    </w:rPr>
  </w:style>
  <w:style w:type="character" w:customStyle="1" w:styleId="ClinConclusions">
    <w:name w:val="ClinConclusions"/>
    <w:basedOn w:val="Standardnpsmoodstavce"/>
    <w:rsid w:val="005C0381"/>
    <w:rPr>
      <w:rFonts w:ascii="Verdana" w:hAnsi="Verdana" w:cs="Times New Roman"/>
      <w:i/>
      <w:iCs/>
      <w:color w:val="auto"/>
    </w:rPr>
  </w:style>
  <w:style w:type="character" w:customStyle="1" w:styleId="ClinHeadNote">
    <w:name w:val="ClinHeadNote"/>
    <w:basedOn w:val="Standardnpsmoodstavce"/>
    <w:rsid w:val="005C0381"/>
    <w:rPr>
      <w:rFonts w:cs="Times New Roman"/>
    </w:rPr>
  </w:style>
  <w:style w:type="paragraph" w:customStyle="1" w:styleId="ClinContent">
    <w:name w:val="ClinContent"/>
    <w:basedOn w:val="Normln"/>
    <w:rsid w:val="005C0381"/>
    <w:pPr>
      <w:spacing w:before="240" w:after="0" w:line="240" w:lineRule="auto"/>
      <w:jc w:val="both"/>
    </w:pPr>
    <w:rPr>
      <w:rFonts w:ascii="Verdana" w:eastAsia="Times New Roman" w:hAnsi="Verdana" w:cs="Times New Roman"/>
      <w:sz w:val="20"/>
      <w:szCs w:val="24"/>
      <w:lang w:val="en-GB" w:eastAsia="en-GB"/>
    </w:rPr>
  </w:style>
  <w:style w:type="paragraph" w:customStyle="1" w:styleId="s6e50bd9a">
    <w:name w:val="s6e50bd9a"/>
    <w:basedOn w:val="Normln"/>
    <w:rsid w:val="00C72E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fbbfee58">
    <w:name w:val="sfbbfee58"/>
    <w:basedOn w:val="Standardnpsmoodstavce"/>
    <w:rsid w:val="00C72E0B"/>
  </w:style>
  <w:style w:type="character" w:customStyle="1" w:styleId="s1a844bc0">
    <w:name w:val="s1a844bc0"/>
    <w:basedOn w:val="Standardnpsmoodstavce"/>
    <w:rsid w:val="00C72E0B"/>
  </w:style>
  <w:style w:type="paragraph" w:customStyle="1" w:styleId="s6c429373">
    <w:name w:val="s6c429373"/>
    <w:basedOn w:val="Normln"/>
    <w:rsid w:val="00C72E0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CHRPara">
    <w:name w:val="ECHR_Para"/>
    <w:aliases w:val="Ju_Para"/>
    <w:basedOn w:val="Normln"/>
    <w:uiPriority w:val="12"/>
    <w:qFormat/>
    <w:rsid w:val="0085236C"/>
    <w:pPr>
      <w:spacing w:after="0" w:line="240" w:lineRule="auto"/>
      <w:ind w:firstLine="284"/>
      <w:jc w:val="both"/>
    </w:pPr>
    <w:rPr>
      <w:rFonts w:eastAsiaTheme="minorEastAsia"/>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30eec3f8">
    <w:name w:val="s30eec3f8"/>
    <w:basedOn w:val="Normln"/>
    <w:rsid w:val="0014223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evize">
    <w:name w:val="Revision"/>
    <w:hidden/>
    <w:uiPriority w:val="99"/>
    <w:semiHidden/>
    <w:rsid w:val="00B808C0"/>
    <w:pPr>
      <w:spacing w:after="0" w:line="240" w:lineRule="auto"/>
    </w:pPr>
  </w:style>
  <w:style w:type="paragraph" w:styleId="Textbubliny">
    <w:name w:val="Balloon Text"/>
    <w:basedOn w:val="Normln"/>
    <w:link w:val="TextbublinyChar"/>
    <w:uiPriority w:val="99"/>
    <w:semiHidden/>
    <w:unhideWhenUsed/>
    <w:rsid w:val="00B808C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08C0"/>
    <w:rPr>
      <w:rFonts w:ascii="Segoe UI" w:hAnsi="Segoe UI" w:cs="Segoe UI"/>
      <w:sz w:val="18"/>
      <w:szCs w:val="18"/>
    </w:rPr>
  </w:style>
  <w:style w:type="character" w:customStyle="1" w:styleId="sb8d990e2">
    <w:name w:val="sb8d990e2"/>
    <w:basedOn w:val="Standardnpsmoodstavce"/>
    <w:rsid w:val="00980D96"/>
  </w:style>
  <w:style w:type="character" w:customStyle="1" w:styleId="s6b621b36">
    <w:name w:val="s6b621b36"/>
    <w:basedOn w:val="Standardnpsmoodstavce"/>
    <w:rsid w:val="00980D96"/>
  </w:style>
  <w:style w:type="character" w:customStyle="1" w:styleId="sea881cdf">
    <w:name w:val="sea881cdf"/>
    <w:basedOn w:val="Standardnpsmoodstavce"/>
    <w:rsid w:val="00980D96"/>
  </w:style>
  <w:style w:type="character" w:styleId="Hypertextovodkaz">
    <w:name w:val="Hyperlink"/>
    <w:basedOn w:val="Standardnpsmoodstavce"/>
    <w:uiPriority w:val="99"/>
    <w:semiHidden/>
    <w:unhideWhenUsed/>
    <w:rsid w:val="00980D96"/>
    <w:rPr>
      <w:color w:val="0000FF"/>
      <w:u w:val="single"/>
    </w:rPr>
  </w:style>
  <w:style w:type="character" w:customStyle="1" w:styleId="ClinConclusions">
    <w:name w:val="ClinConclusions"/>
    <w:basedOn w:val="Standardnpsmoodstavce"/>
    <w:rsid w:val="005C0381"/>
    <w:rPr>
      <w:rFonts w:ascii="Verdana" w:hAnsi="Verdana" w:cs="Times New Roman"/>
      <w:i/>
      <w:iCs/>
      <w:color w:val="auto"/>
    </w:rPr>
  </w:style>
  <w:style w:type="character" w:customStyle="1" w:styleId="ClinHeadNote">
    <w:name w:val="ClinHeadNote"/>
    <w:basedOn w:val="Standardnpsmoodstavce"/>
    <w:rsid w:val="005C0381"/>
    <w:rPr>
      <w:rFonts w:cs="Times New Roman"/>
    </w:rPr>
  </w:style>
  <w:style w:type="paragraph" w:customStyle="1" w:styleId="ClinContent">
    <w:name w:val="ClinContent"/>
    <w:basedOn w:val="Normln"/>
    <w:rsid w:val="005C0381"/>
    <w:pPr>
      <w:spacing w:before="240" w:after="0" w:line="240" w:lineRule="auto"/>
      <w:jc w:val="both"/>
    </w:pPr>
    <w:rPr>
      <w:rFonts w:ascii="Verdana" w:eastAsia="Times New Roman" w:hAnsi="Verdana" w:cs="Times New Roman"/>
      <w:sz w:val="20"/>
      <w:szCs w:val="24"/>
      <w:lang w:val="en-GB" w:eastAsia="en-GB"/>
    </w:rPr>
  </w:style>
  <w:style w:type="paragraph" w:customStyle="1" w:styleId="s6e50bd9a">
    <w:name w:val="s6e50bd9a"/>
    <w:basedOn w:val="Normln"/>
    <w:rsid w:val="00C72E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fbbfee58">
    <w:name w:val="sfbbfee58"/>
    <w:basedOn w:val="Standardnpsmoodstavce"/>
    <w:rsid w:val="00C72E0B"/>
  </w:style>
  <w:style w:type="character" w:customStyle="1" w:styleId="s1a844bc0">
    <w:name w:val="s1a844bc0"/>
    <w:basedOn w:val="Standardnpsmoodstavce"/>
    <w:rsid w:val="00C72E0B"/>
  </w:style>
  <w:style w:type="paragraph" w:customStyle="1" w:styleId="s6c429373">
    <w:name w:val="s6c429373"/>
    <w:basedOn w:val="Normln"/>
    <w:rsid w:val="00C72E0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CHRPara">
    <w:name w:val="ECHR_Para"/>
    <w:aliases w:val="Ju_Para"/>
    <w:basedOn w:val="Normln"/>
    <w:uiPriority w:val="12"/>
    <w:qFormat/>
    <w:rsid w:val="0085236C"/>
    <w:pPr>
      <w:spacing w:after="0" w:line="240" w:lineRule="auto"/>
      <w:ind w:firstLine="284"/>
      <w:jc w:val="both"/>
    </w:pPr>
    <w:rPr>
      <w:rFonts w:eastAsiaTheme="minorEastAsia"/>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1475">
      <w:bodyDiv w:val="1"/>
      <w:marLeft w:val="0"/>
      <w:marRight w:val="0"/>
      <w:marTop w:val="0"/>
      <w:marBottom w:val="0"/>
      <w:divBdr>
        <w:top w:val="none" w:sz="0" w:space="0" w:color="auto"/>
        <w:left w:val="none" w:sz="0" w:space="0" w:color="auto"/>
        <w:bottom w:val="none" w:sz="0" w:space="0" w:color="auto"/>
        <w:right w:val="none" w:sz="0" w:space="0" w:color="auto"/>
      </w:divBdr>
      <w:divsChild>
        <w:div w:id="611589349">
          <w:marLeft w:val="0"/>
          <w:marRight w:val="0"/>
          <w:marTop w:val="0"/>
          <w:marBottom w:val="0"/>
          <w:divBdr>
            <w:top w:val="none" w:sz="0" w:space="0" w:color="auto"/>
            <w:left w:val="none" w:sz="0" w:space="0" w:color="auto"/>
            <w:bottom w:val="none" w:sz="0" w:space="0" w:color="auto"/>
            <w:right w:val="none" w:sz="0" w:space="0" w:color="auto"/>
          </w:divBdr>
          <w:divsChild>
            <w:div w:id="567574077">
              <w:marLeft w:val="0"/>
              <w:marRight w:val="0"/>
              <w:marTop w:val="0"/>
              <w:marBottom w:val="0"/>
              <w:divBdr>
                <w:top w:val="none" w:sz="0" w:space="0" w:color="auto"/>
                <w:left w:val="none" w:sz="0" w:space="0" w:color="auto"/>
                <w:bottom w:val="none" w:sz="0" w:space="0" w:color="auto"/>
                <w:right w:val="none" w:sz="0" w:space="0" w:color="auto"/>
              </w:divBdr>
              <w:divsChild>
                <w:div w:id="1002126655">
                  <w:marLeft w:val="0"/>
                  <w:marRight w:val="0"/>
                  <w:marTop w:val="0"/>
                  <w:marBottom w:val="0"/>
                  <w:divBdr>
                    <w:top w:val="none" w:sz="0" w:space="0" w:color="auto"/>
                    <w:left w:val="none" w:sz="0" w:space="0" w:color="auto"/>
                    <w:bottom w:val="none" w:sz="0" w:space="0" w:color="auto"/>
                    <w:right w:val="none" w:sz="0" w:space="0" w:color="auto"/>
                  </w:divBdr>
                  <w:divsChild>
                    <w:div w:id="2047831656">
                      <w:marLeft w:val="0"/>
                      <w:marRight w:val="0"/>
                      <w:marTop w:val="0"/>
                      <w:marBottom w:val="0"/>
                      <w:divBdr>
                        <w:top w:val="none" w:sz="0" w:space="0" w:color="auto"/>
                        <w:left w:val="none" w:sz="0" w:space="0" w:color="auto"/>
                        <w:bottom w:val="none" w:sz="0" w:space="0" w:color="auto"/>
                        <w:right w:val="none" w:sz="0" w:space="0" w:color="auto"/>
                      </w:divBdr>
                      <w:divsChild>
                        <w:div w:id="1647928647">
                          <w:marLeft w:val="0"/>
                          <w:marRight w:val="0"/>
                          <w:marTop w:val="0"/>
                          <w:marBottom w:val="0"/>
                          <w:divBdr>
                            <w:top w:val="none" w:sz="0" w:space="0" w:color="auto"/>
                            <w:left w:val="none" w:sz="0" w:space="0" w:color="auto"/>
                            <w:bottom w:val="none" w:sz="0" w:space="0" w:color="auto"/>
                            <w:right w:val="none" w:sz="0" w:space="0" w:color="auto"/>
                          </w:divBdr>
                          <w:divsChild>
                            <w:div w:id="7622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156672">
      <w:bodyDiv w:val="1"/>
      <w:marLeft w:val="0"/>
      <w:marRight w:val="0"/>
      <w:marTop w:val="0"/>
      <w:marBottom w:val="0"/>
      <w:divBdr>
        <w:top w:val="none" w:sz="0" w:space="0" w:color="auto"/>
        <w:left w:val="none" w:sz="0" w:space="0" w:color="auto"/>
        <w:bottom w:val="none" w:sz="0" w:space="0" w:color="auto"/>
        <w:right w:val="none" w:sz="0" w:space="0" w:color="auto"/>
      </w:divBdr>
      <w:divsChild>
        <w:div w:id="26226295">
          <w:marLeft w:val="0"/>
          <w:marRight w:val="0"/>
          <w:marTop w:val="0"/>
          <w:marBottom w:val="0"/>
          <w:divBdr>
            <w:top w:val="none" w:sz="0" w:space="0" w:color="auto"/>
            <w:left w:val="none" w:sz="0" w:space="0" w:color="auto"/>
            <w:bottom w:val="none" w:sz="0" w:space="0" w:color="auto"/>
            <w:right w:val="none" w:sz="0" w:space="0" w:color="auto"/>
          </w:divBdr>
          <w:divsChild>
            <w:div w:id="40717247">
              <w:marLeft w:val="0"/>
              <w:marRight w:val="0"/>
              <w:marTop w:val="0"/>
              <w:marBottom w:val="0"/>
              <w:divBdr>
                <w:top w:val="none" w:sz="0" w:space="0" w:color="auto"/>
                <w:left w:val="none" w:sz="0" w:space="0" w:color="auto"/>
                <w:bottom w:val="none" w:sz="0" w:space="0" w:color="auto"/>
                <w:right w:val="none" w:sz="0" w:space="0" w:color="auto"/>
              </w:divBdr>
              <w:divsChild>
                <w:div w:id="1667321381">
                  <w:marLeft w:val="0"/>
                  <w:marRight w:val="0"/>
                  <w:marTop w:val="0"/>
                  <w:marBottom w:val="0"/>
                  <w:divBdr>
                    <w:top w:val="none" w:sz="0" w:space="0" w:color="auto"/>
                    <w:left w:val="none" w:sz="0" w:space="0" w:color="auto"/>
                    <w:bottom w:val="none" w:sz="0" w:space="0" w:color="auto"/>
                    <w:right w:val="none" w:sz="0" w:space="0" w:color="auto"/>
                  </w:divBdr>
                  <w:divsChild>
                    <w:div w:id="134376558">
                      <w:marLeft w:val="0"/>
                      <w:marRight w:val="0"/>
                      <w:marTop w:val="0"/>
                      <w:marBottom w:val="0"/>
                      <w:divBdr>
                        <w:top w:val="none" w:sz="0" w:space="0" w:color="auto"/>
                        <w:left w:val="none" w:sz="0" w:space="0" w:color="auto"/>
                        <w:bottom w:val="none" w:sz="0" w:space="0" w:color="auto"/>
                        <w:right w:val="none" w:sz="0" w:space="0" w:color="auto"/>
                      </w:divBdr>
                      <w:divsChild>
                        <w:div w:id="301425644">
                          <w:marLeft w:val="0"/>
                          <w:marRight w:val="0"/>
                          <w:marTop w:val="0"/>
                          <w:marBottom w:val="0"/>
                          <w:divBdr>
                            <w:top w:val="none" w:sz="0" w:space="0" w:color="auto"/>
                            <w:left w:val="none" w:sz="0" w:space="0" w:color="auto"/>
                            <w:bottom w:val="none" w:sz="0" w:space="0" w:color="auto"/>
                            <w:right w:val="none" w:sz="0" w:space="0" w:color="auto"/>
                          </w:divBdr>
                          <w:divsChild>
                            <w:div w:id="18517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859784">
      <w:bodyDiv w:val="1"/>
      <w:marLeft w:val="0"/>
      <w:marRight w:val="0"/>
      <w:marTop w:val="0"/>
      <w:marBottom w:val="0"/>
      <w:divBdr>
        <w:top w:val="none" w:sz="0" w:space="0" w:color="auto"/>
        <w:left w:val="none" w:sz="0" w:space="0" w:color="auto"/>
        <w:bottom w:val="none" w:sz="0" w:space="0" w:color="auto"/>
        <w:right w:val="none" w:sz="0" w:space="0" w:color="auto"/>
      </w:divBdr>
      <w:divsChild>
        <w:div w:id="597829344">
          <w:marLeft w:val="0"/>
          <w:marRight w:val="0"/>
          <w:marTop w:val="0"/>
          <w:marBottom w:val="0"/>
          <w:divBdr>
            <w:top w:val="none" w:sz="0" w:space="0" w:color="auto"/>
            <w:left w:val="none" w:sz="0" w:space="0" w:color="auto"/>
            <w:bottom w:val="none" w:sz="0" w:space="0" w:color="auto"/>
            <w:right w:val="none" w:sz="0" w:space="0" w:color="auto"/>
          </w:divBdr>
          <w:divsChild>
            <w:div w:id="152265035">
              <w:marLeft w:val="0"/>
              <w:marRight w:val="0"/>
              <w:marTop w:val="0"/>
              <w:marBottom w:val="0"/>
              <w:divBdr>
                <w:top w:val="none" w:sz="0" w:space="0" w:color="auto"/>
                <w:left w:val="none" w:sz="0" w:space="0" w:color="auto"/>
                <w:bottom w:val="none" w:sz="0" w:space="0" w:color="auto"/>
                <w:right w:val="none" w:sz="0" w:space="0" w:color="auto"/>
              </w:divBdr>
              <w:divsChild>
                <w:div w:id="1446730518">
                  <w:marLeft w:val="0"/>
                  <w:marRight w:val="0"/>
                  <w:marTop w:val="0"/>
                  <w:marBottom w:val="0"/>
                  <w:divBdr>
                    <w:top w:val="none" w:sz="0" w:space="0" w:color="auto"/>
                    <w:left w:val="none" w:sz="0" w:space="0" w:color="auto"/>
                    <w:bottom w:val="none" w:sz="0" w:space="0" w:color="auto"/>
                    <w:right w:val="none" w:sz="0" w:space="0" w:color="auto"/>
                  </w:divBdr>
                  <w:divsChild>
                    <w:div w:id="1650937977">
                      <w:marLeft w:val="0"/>
                      <w:marRight w:val="0"/>
                      <w:marTop w:val="0"/>
                      <w:marBottom w:val="0"/>
                      <w:divBdr>
                        <w:top w:val="none" w:sz="0" w:space="0" w:color="auto"/>
                        <w:left w:val="none" w:sz="0" w:space="0" w:color="auto"/>
                        <w:bottom w:val="none" w:sz="0" w:space="0" w:color="auto"/>
                        <w:right w:val="none" w:sz="0" w:space="0" w:color="auto"/>
                      </w:divBdr>
                      <w:divsChild>
                        <w:div w:id="205682879">
                          <w:marLeft w:val="0"/>
                          <w:marRight w:val="0"/>
                          <w:marTop w:val="0"/>
                          <w:marBottom w:val="0"/>
                          <w:divBdr>
                            <w:top w:val="none" w:sz="0" w:space="0" w:color="auto"/>
                            <w:left w:val="none" w:sz="0" w:space="0" w:color="auto"/>
                            <w:bottom w:val="none" w:sz="0" w:space="0" w:color="auto"/>
                            <w:right w:val="none" w:sz="0" w:space="0" w:color="auto"/>
                          </w:divBdr>
                          <w:divsChild>
                            <w:div w:id="6124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E69D8-21F8-4B55-9601-1B26592C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4143</Characters>
  <Application>Microsoft Office Word</Application>
  <DocSecurity>0</DocSecurity>
  <Lines>34</Lines>
  <Paragraphs>9</Paragraphs>
  <ScaleCrop>false</ScaleCrop>
  <HeadingPairs>
    <vt:vector size="6" baseType="variant">
      <vt:variant>
        <vt:lpstr>Název</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European court of Human Right</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Vendulka Lola</dc:creator>
  <cp:lastModifiedBy>Kateřina Lindner</cp:lastModifiedBy>
  <cp:revision>2</cp:revision>
  <dcterms:created xsi:type="dcterms:W3CDTF">2015-05-12T11:50:00Z</dcterms:created>
  <dcterms:modified xsi:type="dcterms:W3CDTF">2015-05-12T11:50:00Z</dcterms:modified>
</cp:coreProperties>
</file>