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C0" w:rsidRDefault="00611AC0" w:rsidP="00611AC0">
      <w:pPr>
        <w:pStyle w:val="Normlnweb"/>
        <w:jc w:val="both"/>
      </w:pPr>
      <w:bookmarkStart w:id="0" w:name="_GoBack"/>
      <w:r>
        <w:rPr>
          <w:rStyle w:val="Siln"/>
          <w:i/>
          <w:iCs/>
        </w:rPr>
        <w:t>KOZAK  proti Polsku</w:t>
      </w:r>
      <w:r>
        <w:rPr>
          <w:rStyle w:val="Siln"/>
        </w:rPr>
        <w:t xml:space="preserve"> </w:t>
      </w:r>
    </w:p>
    <w:bookmarkEnd w:id="0"/>
    <w:p w:rsidR="00611AC0" w:rsidRDefault="00611AC0" w:rsidP="00611AC0">
      <w:pPr>
        <w:pStyle w:val="Normlnweb"/>
        <w:jc w:val="both"/>
      </w:pPr>
      <w:r>
        <w:t>Rozsudek z</w:t>
      </w:r>
      <w:r>
        <w:t xml:space="preserve"> 2. března 2010 </w:t>
      </w:r>
    </w:p>
    <w:p w:rsidR="00611AC0" w:rsidRDefault="00611AC0" w:rsidP="00611AC0">
      <w:pPr>
        <w:pStyle w:val="Normlnweb"/>
        <w:jc w:val="both"/>
      </w:pPr>
      <w:r>
        <w:rPr>
          <w:b/>
          <w:bCs/>
        </w:rPr>
        <w:t xml:space="preserve">Neumožnění dědění nájmu bytu po úmrtí homosexuálního partnera. </w:t>
      </w:r>
      <w:r>
        <w:t xml:space="preserve">Po smrti svého homosexuálního partnera, stěžovatel zahájil řízení proti městskému úřadu za účelem přechodu nájmu k bytu, který společně obývali, ale který byl pronajat na jméno jeho partnera. Vnitrostátní soudy jeho žádost zamítly s tím, že stěžovatel byt opustil a přestal platit nájemné ještě před smrtí svého partnera a že de facto manželský vztah, který byl podmínkou pro přechod nájmu k městskému bytu, mohl být založen jen mezi mužem a ženou. </w:t>
      </w:r>
    </w:p>
    <w:p w:rsidR="00611AC0" w:rsidRDefault="00611AC0" w:rsidP="00611AC0">
      <w:pPr>
        <w:pStyle w:val="Normlnweb"/>
        <w:jc w:val="both"/>
      </w:pPr>
      <w:r>
        <w:t xml:space="preserve">Soud judikoval, že i když délka a povaha vztahu stěžovatele k jeho partnerovi a jejich užívání dotčeného bytu byla před soudem vyložena spíše nekonsistentně, nebylo jeho úkolem opravovat jejich názory a skutková zjištění. Měl posoudit, zda soudní rozhodnutí o skutkových okolnostech respektovala zákaz diskriminace ve smyslu článku 14 Úmluvy. </w:t>
      </w:r>
    </w:p>
    <w:p w:rsidR="00611AC0" w:rsidRDefault="00611AC0" w:rsidP="00611AC0">
      <w:pPr>
        <w:pStyle w:val="Normlnweb"/>
        <w:jc w:val="both"/>
      </w:pPr>
      <w:r>
        <w:t>Při rozhodování o tom, zda by měl být nájem bytu převeden na stěžovatele</w:t>
      </w:r>
      <w:r>
        <w:t>,</w:t>
      </w:r>
      <w:r>
        <w:t xml:space="preserve"> </w:t>
      </w:r>
      <w:r>
        <w:t xml:space="preserve">se </w:t>
      </w:r>
      <w:r>
        <w:t xml:space="preserve">vnitrostátní soudy soustředily téměř výslovně na homosexuální povahu vztahu </w:t>
      </w:r>
      <w:r>
        <w:t>-</w:t>
      </w:r>
      <w:r>
        <w:t xml:space="preserve">stěžovatele k jeho partneru a došly názoru, že vzhledem k tomu, že polské právo neuznává manželství uzavřené mezi osobami téhož pohlaví, </w:t>
      </w:r>
      <w:r>
        <w:rPr>
          <w:i/>
          <w:iCs/>
        </w:rPr>
        <w:t>de facto</w:t>
      </w:r>
      <w:r>
        <w:t xml:space="preserve"> manželský vztah může existovat pouze mezi mužem a ženou. Přes důležitost legitimního cíle sledovaného v tomto případě, totiž ochrany tradiční rodiny, měly státní orgány při výběru prostředků k ochraně tohoto cíle vzít v úvahu vývoj a změny ve společnosti včetně skutečnosti, že zde nebyl jen jeden způsob, jak vést rodinný život. Vzhledem k omezenému rozsahu posuzovací pravomoci v případech rozdílného jednání založené na sexuální orientaci, celoplošné vyloučení osob žijících v homosexuálním vztahu z možnosti převedení nájmu bylo pro Soud neakceptovatelné. </w:t>
      </w:r>
    </w:p>
    <w:p w:rsidR="007864C0" w:rsidRPr="00611AC0" w:rsidRDefault="00611AC0" w:rsidP="00611AC0">
      <w:pPr>
        <w:rPr>
          <w:rFonts w:ascii="Times New Roman" w:hAnsi="Times New Roman" w:cs="Times New Roman"/>
        </w:rPr>
      </w:pPr>
      <w:r w:rsidRPr="00611AC0">
        <w:rPr>
          <w:rFonts w:ascii="Times New Roman" w:hAnsi="Times New Roman" w:cs="Times New Roman"/>
        </w:rPr>
        <w:t>Porušení článku 14 Úmluvy (jednomyslně).</w:t>
      </w:r>
    </w:p>
    <w:sectPr w:rsidR="007864C0" w:rsidRPr="0061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58"/>
    <w:rsid w:val="00330358"/>
    <w:rsid w:val="00611AC0"/>
    <w:rsid w:val="007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0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A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0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2015-05-14T09:16:00Z</dcterms:created>
  <dcterms:modified xsi:type="dcterms:W3CDTF">2015-05-14T09:16:00Z</dcterms:modified>
</cp:coreProperties>
</file>