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98" w:rsidRPr="008343FB" w:rsidRDefault="00957798" w:rsidP="00936733">
      <w:pPr>
        <w:jc w:val="center"/>
        <w:rPr>
          <w:b/>
        </w:rPr>
      </w:pPr>
    </w:p>
    <w:p w:rsidR="008D25A7" w:rsidRPr="008343FB" w:rsidRDefault="008D25A7" w:rsidP="00A03203">
      <w:pPr>
        <w:rPr>
          <w:b/>
        </w:rPr>
      </w:pPr>
    </w:p>
    <w:p w:rsidR="00F40FFF" w:rsidRPr="008343FB" w:rsidRDefault="00957798" w:rsidP="00957798">
      <w:pPr>
        <w:jc w:val="center"/>
        <w:outlineLvl w:val="0"/>
        <w:rPr>
          <w:b/>
          <w:noProof/>
          <w:lang w:eastAsia="cs-CZ"/>
        </w:rPr>
      </w:pPr>
      <w:r w:rsidRPr="008343FB">
        <w:rPr>
          <w:b/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-679450</wp:posOffset>
            </wp:positionV>
            <wp:extent cx="914400" cy="581025"/>
            <wp:effectExtent l="19050" t="0" r="0" b="0"/>
            <wp:wrapSquare wrapText="bothSides"/>
            <wp:docPr id="2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245" w:rsidRPr="008343FB" w:rsidRDefault="00936733" w:rsidP="008D25A7">
      <w:pPr>
        <w:jc w:val="center"/>
        <w:outlineLvl w:val="0"/>
        <w:rPr>
          <w:b/>
        </w:rPr>
      </w:pPr>
      <w:r w:rsidRPr="008343FB">
        <w:rPr>
          <w:b/>
        </w:rPr>
        <w:t>Z á p i s </w:t>
      </w:r>
    </w:p>
    <w:p w:rsidR="008D25A7" w:rsidRPr="008343FB" w:rsidRDefault="00936733" w:rsidP="008D25A7">
      <w:pPr>
        <w:jc w:val="center"/>
        <w:rPr>
          <w:b/>
          <w:i/>
          <w:u w:val="single"/>
        </w:rPr>
      </w:pPr>
      <w:r w:rsidRPr="008343FB">
        <w:rPr>
          <w:b/>
          <w:i/>
          <w:u w:val="single"/>
        </w:rPr>
        <w:t>ze zasedání sekce pro legislativní činnost na úseku advokacie</w:t>
      </w:r>
    </w:p>
    <w:p w:rsidR="008D25A7" w:rsidRPr="008343FB" w:rsidRDefault="008D25A7" w:rsidP="00A104F6">
      <w:pPr>
        <w:jc w:val="center"/>
        <w:rPr>
          <w:b/>
          <w:i/>
          <w:u w:val="single"/>
        </w:rPr>
      </w:pPr>
      <w:r w:rsidRPr="008343FB">
        <w:rPr>
          <w:b/>
          <w:i/>
          <w:u w:val="single"/>
        </w:rPr>
        <w:t xml:space="preserve"> </w:t>
      </w:r>
      <w:r w:rsidR="008343FB" w:rsidRPr="008343FB">
        <w:rPr>
          <w:b/>
          <w:i/>
          <w:u w:val="single"/>
        </w:rPr>
        <w:t>dne 28. ledna 2013</w:t>
      </w:r>
    </w:p>
    <w:p w:rsidR="00936733" w:rsidRPr="008343FB" w:rsidRDefault="00936733" w:rsidP="008D25A7">
      <w:pPr>
        <w:outlineLvl w:val="0"/>
      </w:pPr>
      <w:r w:rsidRPr="008343FB">
        <w:t xml:space="preserve">Přítomni: </w:t>
      </w:r>
      <w:r w:rsidR="008D25A7" w:rsidRPr="008343FB">
        <w:tab/>
      </w:r>
      <w:r w:rsidRPr="008343FB">
        <w:t>JUDr. J. Brož, JUDr. J. Justoň</w:t>
      </w:r>
      <w:r w:rsidR="00677F6B" w:rsidRPr="008343FB">
        <w:t>, JUDr. M. Marešová</w:t>
      </w:r>
    </w:p>
    <w:p w:rsidR="00936733" w:rsidRPr="008343FB" w:rsidRDefault="00936733" w:rsidP="00936733">
      <w:r w:rsidRPr="008343FB">
        <w:t xml:space="preserve">Omluveni: </w:t>
      </w:r>
      <w:r w:rsidR="008D25A7" w:rsidRPr="008343FB">
        <w:tab/>
      </w:r>
      <w:r w:rsidRPr="008343FB">
        <w:t>JUDr. J. Hartmann, JUDr. M. Jindrák, JUDr. M. Račok</w:t>
      </w:r>
    </w:p>
    <w:p w:rsidR="008D25A7" w:rsidRPr="008343FB" w:rsidRDefault="008D25A7" w:rsidP="008D25A7">
      <w:pPr>
        <w:jc w:val="center"/>
      </w:pPr>
      <w:r w:rsidRPr="008343FB">
        <w:t>………………………………………….</w:t>
      </w:r>
    </w:p>
    <w:p w:rsidR="008D25A7" w:rsidRPr="008343FB" w:rsidRDefault="008D25A7" w:rsidP="008D25A7">
      <w:pPr>
        <w:rPr>
          <w:b/>
        </w:rPr>
      </w:pPr>
      <w:r w:rsidRPr="008343FB">
        <w:rPr>
          <w:b/>
        </w:rPr>
        <w:t>Program sekce:</w:t>
      </w:r>
    </w:p>
    <w:p w:rsidR="008D25A7" w:rsidRPr="008343FB" w:rsidRDefault="008D25A7" w:rsidP="00FE0915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8343FB">
        <w:rPr>
          <w:b/>
        </w:rPr>
        <w:t>Koncepce bezplatné právní pomoci v ČR</w:t>
      </w:r>
    </w:p>
    <w:p w:rsidR="008D25A7" w:rsidRPr="008343FB" w:rsidRDefault="008D25A7" w:rsidP="008D25A7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8343FB">
        <w:rPr>
          <w:b/>
        </w:rPr>
        <w:t>Novela etického kodexu</w:t>
      </w:r>
    </w:p>
    <w:p w:rsidR="008D25A7" w:rsidRPr="008343FB" w:rsidRDefault="008D25A7" w:rsidP="008D25A7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8343FB">
        <w:rPr>
          <w:b/>
        </w:rPr>
        <w:t>Změna advokátních zkoušek</w:t>
      </w:r>
    </w:p>
    <w:p w:rsidR="008D25A7" w:rsidRPr="008343FB" w:rsidRDefault="008D25A7" w:rsidP="008D25A7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8343FB">
        <w:rPr>
          <w:b/>
        </w:rPr>
        <w:t>Dotazy advokátů</w:t>
      </w:r>
    </w:p>
    <w:p w:rsidR="008D25A7" w:rsidRPr="008343FB" w:rsidRDefault="008D25A7" w:rsidP="008D25A7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8343FB">
        <w:rPr>
          <w:b/>
        </w:rPr>
        <w:t>Různé</w:t>
      </w:r>
    </w:p>
    <w:p w:rsidR="008D25A7" w:rsidRPr="008343FB" w:rsidRDefault="008D25A7" w:rsidP="008D25A7"/>
    <w:p w:rsidR="00FE0915" w:rsidRPr="008343FB" w:rsidRDefault="00FE0915" w:rsidP="008D25A7">
      <w:r w:rsidRPr="008343FB">
        <w:t>Na úvod zasedání předseda sekce JUDr. Brož uvítal přítomné členy a zahájil jednání sekce.</w:t>
      </w:r>
    </w:p>
    <w:p w:rsidR="00FE0915" w:rsidRPr="008343FB" w:rsidRDefault="00C517CF" w:rsidP="00042043">
      <w:pPr>
        <w:jc w:val="both"/>
        <w:rPr>
          <w:b/>
          <w:u w:val="single"/>
        </w:rPr>
      </w:pPr>
      <w:bookmarkStart w:id="0" w:name="_GoBack"/>
      <w:r w:rsidRPr="008343FB">
        <w:rPr>
          <w:b/>
          <w:u w:val="single"/>
        </w:rPr>
        <w:t>K bodu č. 1</w:t>
      </w:r>
      <w:bookmarkEnd w:id="0"/>
      <w:r w:rsidR="00FE0915" w:rsidRPr="008343FB">
        <w:rPr>
          <w:b/>
          <w:u w:val="single"/>
        </w:rPr>
        <w:t>)</w:t>
      </w:r>
      <w:r w:rsidR="008D25A7" w:rsidRPr="008343FB">
        <w:rPr>
          <w:b/>
          <w:u w:val="single"/>
        </w:rPr>
        <w:t xml:space="preserve"> </w:t>
      </w:r>
    </w:p>
    <w:p w:rsidR="00FE0915" w:rsidRPr="008343FB" w:rsidRDefault="00C517CF" w:rsidP="00042043">
      <w:pPr>
        <w:jc w:val="both"/>
      </w:pPr>
      <w:r w:rsidRPr="008343FB">
        <w:t>je konstatováno, že v mezidobí od přípravy zasedání sekce byla ČAK in</w:t>
      </w:r>
      <w:r w:rsidR="00FE0915" w:rsidRPr="008343FB">
        <w:t xml:space="preserve">formována o tom, že věcný záměr </w:t>
      </w:r>
      <w:r w:rsidR="008343FB" w:rsidRPr="008343FB">
        <w:t xml:space="preserve">zákona o </w:t>
      </w:r>
      <w:r w:rsidRPr="008343FB">
        <w:t>zajiš</w:t>
      </w:r>
      <w:r w:rsidR="008343FB" w:rsidRPr="008343FB">
        <w:t xml:space="preserve">tění právní pomoci, který byl </w:t>
      </w:r>
      <w:r w:rsidRPr="008343FB">
        <w:t>připravován M</w:t>
      </w:r>
      <w:r w:rsidR="008343FB" w:rsidRPr="008343FB">
        <w:t xml:space="preserve">inisterstvem spravedlnosti, </w:t>
      </w:r>
      <w:r w:rsidRPr="008343FB">
        <w:t>byl z dalších legisl</w:t>
      </w:r>
      <w:r w:rsidR="00FE0915" w:rsidRPr="008343FB">
        <w:t>ativních</w:t>
      </w:r>
      <w:r w:rsidRPr="008343FB">
        <w:t xml:space="preserve"> prací </w:t>
      </w:r>
      <w:r w:rsidR="008343FB" w:rsidRPr="008343FB">
        <w:t xml:space="preserve">prozatím </w:t>
      </w:r>
      <w:r w:rsidRPr="008343FB">
        <w:t>odložen. Z tohoto důvodu se sekce nebude</w:t>
      </w:r>
      <w:r w:rsidR="008343FB" w:rsidRPr="008343FB">
        <w:t xml:space="preserve"> tímto materiálem momentálně zabývat</w:t>
      </w:r>
      <w:r w:rsidRPr="008343FB">
        <w:t xml:space="preserve">. Sekci je při tom známo zásadní stanovisko </w:t>
      </w:r>
      <w:r w:rsidR="008343FB" w:rsidRPr="008343FB">
        <w:t xml:space="preserve">představenstva </w:t>
      </w:r>
      <w:r w:rsidRPr="008343FB">
        <w:t>ČA</w:t>
      </w:r>
      <w:r w:rsidR="00042043" w:rsidRPr="008343FB">
        <w:t>K</w:t>
      </w:r>
      <w:r w:rsidRPr="008343FB">
        <w:t xml:space="preserve">, </w:t>
      </w:r>
      <w:r w:rsidR="008343FB" w:rsidRPr="008343FB">
        <w:t xml:space="preserve">podle kterého je tento </w:t>
      </w:r>
      <w:r w:rsidRPr="008343FB">
        <w:t xml:space="preserve">věcný záměr </w:t>
      </w:r>
      <w:r w:rsidR="008343FB" w:rsidRPr="008343FB">
        <w:t xml:space="preserve">považován za </w:t>
      </w:r>
      <w:r w:rsidRPr="008343FB">
        <w:t>nevhodný. Toto stanovisko bylo M</w:t>
      </w:r>
      <w:r w:rsidR="008343FB" w:rsidRPr="008343FB">
        <w:t xml:space="preserve">inisterstvu spravedlnosti </w:t>
      </w:r>
      <w:r w:rsidRPr="008343FB">
        <w:t>již dříve presentováno.</w:t>
      </w:r>
    </w:p>
    <w:p w:rsidR="00FE0915" w:rsidRPr="008343FB" w:rsidRDefault="00C517CF" w:rsidP="00042043">
      <w:pPr>
        <w:jc w:val="both"/>
        <w:rPr>
          <w:u w:val="single"/>
        </w:rPr>
      </w:pPr>
      <w:r w:rsidRPr="008343FB">
        <w:rPr>
          <w:b/>
          <w:u w:val="single"/>
        </w:rPr>
        <w:t>K bodu č. 2</w:t>
      </w:r>
      <w:r w:rsidR="00FE0915" w:rsidRPr="008343FB">
        <w:rPr>
          <w:b/>
          <w:u w:val="single"/>
        </w:rPr>
        <w:t>)</w:t>
      </w:r>
      <w:r w:rsidRPr="008343FB">
        <w:rPr>
          <w:u w:val="single"/>
        </w:rPr>
        <w:t xml:space="preserve"> </w:t>
      </w:r>
    </w:p>
    <w:p w:rsidR="00FE0915" w:rsidRPr="008343FB" w:rsidRDefault="00C517CF" w:rsidP="00042043">
      <w:pPr>
        <w:jc w:val="both"/>
      </w:pPr>
      <w:r w:rsidRPr="008343FB">
        <w:t xml:space="preserve">bylo konstatováno, že </w:t>
      </w:r>
      <w:r w:rsidR="008343FB" w:rsidRPr="008343FB">
        <w:t xml:space="preserve">návrh </w:t>
      </w:r>
      <w:r w:rsidRPr="008343FB">
        <w:t>novel</w:t>
      </w:r>
      <w:r w:rsidR="008343FB" w:rsidRPr="008343FB">
        <w:t>y etického kodexu</w:t>
      </w:r>
      <w:r w:rsidRPr="008343FB">
        <w:t xml:space="preserve"> byl </w:t>
      </w:r>
      <w:r w:rsidR="008343FB" w:rsidRPr="008343FB">
        <w:t xml:space="preserve">v průběhu roku 2012 projednán </w:t>
      </w:r>
      <w:r w:rsidR="009F3F5A" w:rsidRPr="008343FB">
        <w:t>představenstvem, kontrolní radou</w:t>
      </w:r>
      <w:r w:rsidRPr="008343FB">
        <w:t xml:space="preserve"> a kárn</w:t>
      </w:r>
      <w:r w:rsidR="009F3F5A" w:rsidRPr="008343FB">
        <w:t>ými</w:t>
      </w:r>
      <w:r w:rsidRPr="008343FB">
        <w:t xml:space="preserve"> komis</w:t>
      </w:r>
      <w:r w:rsidR="009F3F5A" w:rsidRPr="008343FB">
        <w:t>em</w:t>
      </w:r>
      <w:r w:rsidR="00FE0915" w:rsidRPr="008343FB">
        <w:t>i</w:t>
      </w:r>
      <w:r w:rsidR="009F3F5A" w:rsidRPr="008343FB">
        <w:t>.</w:t>
      </w:r>
      <w:r w:rsidR="008343FB" w:rsidRPr="008343FB">
        <w:t xml:space="preserve"> Z tohoto důvodu se </w:t>
      </w:r>
      <w:r w:rsidRPr="008343FB">
        <w:t xml:space="preserve">sekce vyjadřuje pouze k těm </w:t>
      </w:r>
      <w:r w:rsidR="008343FB" w:rsidRPr="008343FB">
        <w:t>novelizačním bodům</w:t>
      </w:r>
      <w:r w:rsidRPr="008343FB">
        <w:t>, jež nebyly dosud projednány</w:t>
      </w:r>
      <w:r w:rsidR="008343FB" w:rsidRPr="008343FB">
        <w:t>,</w:t>
      </w:r>
      <w:r w:rsidRPr="008343FB">
        <w:t xml:space="preserve"> a to konkrétně k</w:t>
      </w:r>
      <w:r w:rsidR="008343FB" w:rsidRPr="008343FB">
        <w:t> těmto navrhovaným ustanovením</w:t>
      </w:r>
      <w:r w:rsidRPr="008343FB">
        <w:t>:</w:t>
      </w:r>
    </w:p>
    <w:p w:rsidR="00FC478C" w:rsidRPr="008343FB" w:rsidRDefault="00FE0915" w:rsidP="00936733">
      <w:pPr>
        <w:rPr>
          <w:b/>
          <w:i/>
        </w:rPr>
      </w:pPr>
      <w:r w:rsidRPr="008343FB">
        <w:rPr>
          <w:rFonts w:ascii="Calibri" w:hAnsi="Calibri"/>
          <w:b/>
          <w:i/>
        </w:rPr>
        <w:t>Čl</w:t>
      </w:r>
      <w:r w:rsidR="00C517CF" w:rsidRPr="008343FB">
        <w:rPr>
          <w:rFonts w:ascii="Calibri" w:hAnsi="Calibri"/>
          <w:b/>
          <w:i/>
        </w:rPr>
        <w:t>.</w:t>
      </w:r>
      <w:r w:rsidR="00C517CF" w:rsidRPr="008343FB">
        <w:rPr>
          <w:b/>
          <w:i/>
        </w:rPr>
        <w:t xml:space="preserve"> 8 </w:t>
      </w:r>
      <w:r w:rsidR="00042043" w:rsidRPr="008343FB">
        <w:rPr>
          <w:b/>
          <w:i/>
        </w:rPr>
        <w:t>o</w:t>
      </w:r>
      <w:r w:rsidR="00C517CF" w:rsidRPr="008343FB">
        <w:rPr>
          <w:b/>
          <w:i/>
        </w:rPr>
        <w:t>dst. 7</w:t>
      </w:r>
    </w:p>
    <w:p w:rsidR="00FE0915" w:rsidRPr="008343FB" w:rsidRDefault="00FC478C" w:rsidP="008343FB">
      <w:pPr>
        <w:ind w:firstLine="708"/>
        <w:jc w:val="both"/>
      </w:pPr>
      <w:r w:rsidRPr="008343FB">
        <w:t>V</w:t>
      </w:r>
      <w:r w:rsidR="00ED349D" w:rsidRPr="008343FB">
        <w:t>zhledem k tomu, že navržené ustanovení by mělo reago</w:t>
      </w:r>
      <w:r w:rsidR="008343FB">
        <w:t>vat na případnou změnu zákona o </w:t>
      </w:r>
      <w:r w:rsidR="00ED349D" w:rsidRPr="008343FB">
        <w:t xml:space="preserve">advokacii, kde se předpokládá odkaz na toto </w:t>
      </w:r>
      <w:r w:rsidR="008343FB">
        <w:t xml:space="preserve">diskutované </w:t>
      </w:r>
      <w:r w:rsidR="00ED349D" w:rsidRPr="008343FB">
        <w:t xml:space="preserve">ustanovení, bylo by vhodné zabývat se případnou úpravou v etickém kodexu až během legislativního procesu, přičemž návrh </w:t>
      </w:r>
      <w:r w:rsidR="008343FB">
        <w:t xml:space="preserve">na změnu </w:t>
      </w:r>
      <w:r w:rsidR="00ED349D" w:rsidRPr="008343FB">
        <w:t xml:space="preserve">zákona </w:t>
      </w:r>
      <w:r w:rsidR="008343FB">
        <w:t xml:space="preserve">o advokacii </w:t>
      </w:r>
      <w:r w:rsidR="00ED349D" w:rsidRPr="008343FB">
        <w:t>ještě nebyl předložen.</w:t>
      </w:r>
    </w:p>
    <w:p w:rsidR="00ED349D" w:rsidRPr="008343FB" w:rsidRDefault="00FC478C" w:rsidP="008D25A7">
      <w:pPr>
        <w:outlineLvl w:val="0"/>
        <w:rPr>
          <w:b/>
          <w:i/>
        </w:rPr>
      </w:pPr>
      <w:r w:rsidRPr="008343FB">
        <w:rPr>
          <w:b/>
          <w:i/>
        </w:rPr>
        <w:lastRenderedPageBreak/>
        <w:t>Čl. 10 odst. 6 věta druhá</w:t>
      </w:r>
    </w:p>
    <w:p w:rsidR="00FC478C" w:rsidRPr="008343FB" w:rsidRDefault="00FC478C" w:rsidP="00936733">
      <w:r w:rsidRPr="008343FB">
        <w:t>Sekce souhlasí s navrhovaným zněním.</w:t>
      </w:r>
    </w:p>
    <w:p w:rsidR="00C517CF" w:rsidRPr="008343FB" w:rsidRDefault="00FC478C" w:rsidP="008D25A7">
      <w:pPr>
        <w:outlineLvl w:val="0"/>
        <w:rPr>
          <w:b/>
          <w:i/>
        </w:rPr>
      </w:pPr>
      <w:r w:rsidRPr="008343FB">
        <w:rPr>
          <w:b/>
          <w:i/>
        </w:rPr>
        <w:t>Čl. 12 odst. 2</w:t>
      </w:r>
    </w:p>
    <w:p w:rsidR="00FC478C" w:rsidRPr="008343FB" w:rsidRDefault="008343FB" w:rsidP="008343FB">
      <w:pPr>
        <w:jc w:val="both"/>
      </w:pPr>
      <w:r>
        <w:t>Sekce doporučuje v</w:t>
      </w:r>
      <w:r w:rsidR="00FC478C" w:rsidRPr="008343FB">
        <w:t xml:space="preserve">ztáhnout působnost navrženého ustanovení </w:t>
      </w:r>
      <w:r>
        <w:t xml:space="preserve">také </w:t>
      </w:r>
      <w:r w:rsidR="00FC478C" w:rsidRPr="008343FB">
        <w:t xml:space="preserve">na </w:t>
      </w:r>
      <w:r>
        <w:t xml:space="preserve">členy </w:t>
      </w:r>
      <w:r w:rsidR="00FC478C" w:rsidRPr="008343FB">
        <w:t>sdružení</w:t>
      </w:r>
      <w:r>
        <w:t>, neboť jde rovněž o společný výkon advokacie obdobně jako v případě obchodní společnosti</w:t>
      </w:r>
      <w:r w:rsidR="00FC478C" w:rsidRPr="008343FB">
        <w:t>.</w:t>
      </w:r>
    </w:p>
    <w:p w:rsidR="00FC478C" w:rsidRPr="008343FB" w:rsidRDefault="00FC478C" w:rsidP="008D25A7">
      <w:pPr>
        <w:outlineLvl w:val="0"/>
        <w:rPr>
          <w:b/>
          <w:i/>
        </w:rPr>
      </w:pPr>
      <w:r w:rsidRPr="008343FB">
        <w:rPr>
          <w:b/>
          <w:i/>
        </w:rPr>
        <w:t>Čl. 15 odst. 1 a 2</w:t>
      </w:r>
    </w:p>
    <w:p w:rsidR="00FC478C" w:rsidRPr="008343FB" w:rsidRDefault="00FC478C" w:rsidP="00042043">
      <w:pPr>
        <w:jc w:val="both"/>
      </w:pPr>
      <w:r w:rsidRPr="008343FB">
        <w:t>Vzhledem k tomu, že navržené ustanovení by mělo reagovat na případnou změnu zákona o advokacii, kde se předpokládá odkaz na toto ustanovení, bylo by vhodné</w:t>
      </w:r>
      <w:r w:rsidR="008343FB">
        <w:t xml:space="preserve"> zabývat se případnou úpravou v </w:t>
      </w:r>
      <w:r w:rsidRPr="008343FB">
        <w:t>etickém kodexu až během legislativního procesu, přičemž návrh zákona ještě nebyl předložen.</w:t>
      </w:r>
    </w:p>
    <w:p w:rsidR="00936733" w:rsidRPr="008343FB" w:rsidRDefault="00042043" w:rsidP="008D25A7">
      <w:pPr>
        <w:jc w:val="both"/>
        <w:outlineLvl w:val="0"/>
        <w:rPr>
          <w:b/>
          <w:i/>
        </w:rPr>
      </w:pPr>
      <w:r w:rsidRPr="008343FB">
        <w:rPr>
          <w:b/>
          <w:i/>
        </w:rPr>
        <w:t>Čl. 23 odst. 4</w:t>
      </w:r>
    </w:p>
    <w:p w:rsidR="00042043" w:rsidRDefault="00042043" w:rsidP="00042043">
      <w:pPr>
        <w:jc w:val="both"/>
      </w:pPr>
      <w:r w:rsidRPr="008343FB">
        <w:t xml:space="preserve">Sekce navrhuje </w:t>
      </w:r>
      <w:r w:rsidR="008343FB">
        <w:t xml:space="preserve">zakotvit </w:t>
      </w:r>
      <w:r w:rsidRPr="008343FB">
        <w:t>možnost odvol</w:t>
      </w:r>
      <w:r w:rsidR="008343FB">
        <w:t xml:space="preserve">at </w:t>
      </w:r>
      <w:r w:rsidRPr="008343FB">
        <w:t>souhlas</w:t>
      </w:r>
      <w:r w:rsidR="008343FB">
        <w:t xml:space="preserve"> s po</w:t>
      </w:r>
      <w:r w:rsidRPr="008343FB">
        <w:t>užitím jména a příjmení advokáta ve firmě advokátní společnosti.</w:t>
      </w:r>
    </w:p>
    <w:p w:rsidR="008343FB" w:rsidRDefault="008343FB" w:rsidP="008343FB">
      <w:pPr>
        <w:tabs>
          <w:tab w:val="left" w:pos="2410"/>
        </w:tabs>
        <w:jc w:val="both"/>
        <w:rPr>
          <w:b/>
          <w:u w:val="single"/>
        </w:rPr>
      </w:pPr>
    </w:p>
    <w:p w:rsidR="008343FB" w:rsidRPr="008343FB" w:rsidRDefault="008343FB" w:rsidP="008343FB">
      <w:pPr>
        <w:tabs>
          <w:tab w:val="left" w:pos="2410"/>
        </w:tabs>
        <w:jc w:val="both"/>
        <w:rPr>
          <w:b/>
          <w:u w:val="single"/>
        </w:rPr>
      </w:pPr>
      <w:r w:rsidRPr="008343FB">
        <w:rPr>
          <w:b/>
          <w:u w:val="single"/>
        </w:rPr>
        <w:t>K bodu 3)</w:t>
      </w:r>
    </w:p>
    <w:p w:rsidR="00042043" w:rsidRPr="008343FB" w:rsidRDefault="00A85F69" w:rsidP="00042043">
      <w:pPr>
        <w:jc w:val="both"/>
      </w:pPr>
      <w:r w:rsidRPr="008343FB">
        <w:t xml:space="preserve">Sekce bere na vědomí </w:t>
      </w:r>
      <w:r w:rsidR="008343FB">
        <w:t xml:space="preserve">úmysl Komory </w:t>
      </w:r>
      <w:r w:rsidRPr="008343FB">
        <w:t>změn</w:t>
      </w:r>
      <w:r w:rsidR="008343FB">
        <w:t xml:space="preserve">it systém </w:t>
      </w:r>
      <w:r w:rsidRPr="008343FB">
        <w:t xml:space="preserve">výchovy a vzdělávání koncipientů včetně způsobu a rozsahu advokátních zkoušek, má však za to, že </w:t>
      </w:r>
      <w:r w:rsidR="00CF451A">
        <w:t xml:space="preserve">komplexní </w:t>
      </w:r>
      <w:r w:rsidR="008343FB">
        <w:t xml:space="preserve">návrh těchto změn </w:t>
      </w:r>
      <w:r w:rsidRPr="008343FB">
        <w:t xml:space="preserve">by </w:t>
      </w:r>
      <w:r w:rsidR="008343FB">
        <w:t xml:space="preserve">měl být vypracován </w:t>
      </w:r>
      <w:r w:rsidRPr="008343FB">
        <w:t xml:space="preserve">příslušným odborem </w:t>
      </w:r>
      <w:r w:rsidR="000E71EA" w:rsidRPr="008343FB">
        <w:t xml:space="preserve">výchovy a </w:t>
      </w:r>
      <w:r w:rsidRPr="008343FB">
        <w:t>vzdělávání v součinnosti s po</w:t>
      </w:r>
      <w:r w:rsidR="008343FB">
        <w:t>věřeným členem představenstva a </w:t>
      </w:r>
      <w:r w:rsidRPr="008343FB">
        <w:t>předsedou zkušební komise</w:t>
      </w:r>
      <w:r w:rsidR="00CF451A">
        <w:t>. Sekce pro legislativní činnost na úseku advokacie (jakož i další poradní orgány představenstva) by se následně k tomuto návrhu vyjádřila</w:t>
      </w:r>
      <w:r w:rsidRPr="008343FB">
        <w:t>.</w:t>
      </w:r>
    </w:p>
    <w:p w:rsidR="00A85F69" w:rsidRPr="008343FB" w:rsidRDefault="00A85F69" w:rsidP="00042043">
      <w:pPr>
        <w:jc w:val="both"/>
      </w:pPr>
    </w:p>
    <w:p w:rsidR="00A85F69" w:rsidRPr="00CF451A" w:rsidRDefault="00CF451A" w:rsidP="008D25A7">
      <w:pPr>
        <w:jc w:val="both"/>
        <w:outlineLvl w:val="0"/>
        <w:rPr>
          <w:b/>
          <w:u w:val="single"/>
        </w:rPr>
      </w:pPr>
      <w:r w:rsidRPr="00CF451A">
        <w:rPr>
          <w:b/>
          <w:u w:val="single"/>
        </w:rPr>
        <w:t>K bodu 4</w:t>
      </w:r>
    </w:p>
    <w:p w:rsidR="00681D97" w:rsidRPr="008343FB" w:rsidRDefault="000271EA" w:rsidP="008D25A7">
      <w:pPr>
        <w:jc w:val="both"/>
        <w:outlineLvl w:val="0"/>
      </w:pPr>
      <w:r>
        <w:t xml:space="preserve">K dotazu JUDr. L. </w:t>
      </w:r>
      <w:r w:rsidR="00CF451A">
        <w:t>M</w:t>
      </w:r>
      <w:r>
        <w:t>.</w:t>
      </w:r>
      <w:r w:rsidR="00CF451A">
        <w:t xml:space="preserve"> ohledně předání spisové agendy klientovi v elektronické podobě sekce konstatuje, že </w:t>
      </w:r>
      <w:r w:rsidR="00681D97" w:rsidRPr="008343FB">
        <w:t>souhlasí se stanovisk</w:t>
      </w:r>
      <w:r w:rsidR="00CF451A">
        <w:t>em</w:t>
      </w:r>
      <w:r w:rsidR="00681D97" w:rsidRPr="008343FB">
        <w:t xml:space="preserve"> vypracovaným odborem vnější a vnitřní legislativ</w:t>
      </w:r>
      <w:r w:rsidR="00CF451A">
        <w:t>y</w:t>
      </w:r>
      <w:r w:rsidR="00681D97" w:rsidRPr="008343FB">
        <w:t>.</w:t>
      </w:r>
    </w:p>
    <w:p w:rsidR="00681D97" w:rsidRPr="008343FB" w:rsidRDefault="00CF451A" w:rsidP="008D25A7">
      <w:pPr>
        <w:jc w:val="both"/>
        <w:outlineLvl w:val="0"/>
      </w:pPr>
      <w:r>
        <w:t>K dotazu Mgr.</w:t>
      </w:r>
      <w:r w:rsidR="000271EA">
        <w:t xml:space="preserve"> </w:t>
      </w:r>
      <w:proofErr w:type="gramStart"/>
      <w:r w:rsidR="000271EA">
        <w:t xml:space="preserve">J. </w:t>
      </w:r>
      <w:r>
        <w:t xml:space="preserve"> </w:t>
      </w:r>
      <w:proofErr w:type="gramEnd"/>
      <w:r>
        <w:t>R</w:t>
      </w:r>
      <w:r w:rsidR="000271EA">
        <w:t>.</w:t>
      </w:r>
      <w:r>
        <w:t xml:space="preserve"> ohledně poskytování informací o trestním řízení třetím osobám (včetně kopií dokumentů ze spisu) dle pokynu klienta sekce konstatuje, že advokát musí posoudit, o jaké informace se jedná, přičemž poskytnout může pouze takové informace, jejichž poskytnutí není zapovězeno trestním řádem (§ 8b a násl. </w:t>
      </w:r>
      <w:proofErr w:type="spellStart"/>
      <w:r>
        <w:t>TrŘ</w:t>
      </w:r>
      <w:proofErr w:type="spellEnd"/>
      <w:r>
        <w:t>) a které mají relevanci k poskytování právních služeb.</w:t>
      </w:r>
    </w:p>
    <w:p w:rsidR="009873AB" w:rsidRDefault="009873AB" w:rsidP="000E71EA">
      <w:pPr>
        <w:jc w:val="both"/>
        <w:outlineLvl w:val="0"/>
        <w:rPr>
          <w:b/>
        </w:rPr>
      </w:pPr>
    </w:p>
    <w:p w:rsidR="00CF451A" w:rsidRPr="00CF451A" w:rsidRDefault="00CF451A" w:rsidP="000E71EA">
      <w:pPr>
        <w:jc w:val="both"/>
        <w:outlineLvl w:val="0"/>
        <w:rPr>
          <w:b/>
          <w:u w:val="single"/>
        </w:rPr>
      </w:pPr>
      <w:r w:rsidRPr="00CF451A">
        <w:rPr>
          <w:b/>
          <w:u w:val="single"/>
        </w:rPr>
        <w:t>K bodu 5</w:t>
      </w:r>
    </w:p>
    <w:p w:rsidR="00A85F69" w:rsidRPr="008343FB" w:rsidRDefault="00AF05B7" w:rsidP="000E71EA">
      <w:pPr>
        <w:jc w:val="both"/>
        <w:outlineLvl w:val="0"/>
        <w:rPr>
          <w:b/>
        </w:rPr>
      </w:pPr>
      <w:r w:rsidRPr="008343FB">
        <w:rPr>
          <w:b/>
        </w:rPr>
        <w:t>V</w:t>
      </w:r>
      <w:r w:rsidR="00A85F69" w:rsidRPr="008343FB">
        <w:rPr>
          <w:b/>
        </w:rPr>
        <w:t>zorová zadávací dokumentace pro veřejné zakázky na právní služby</w:t>
      </w:r>
    </w:p>
    <w:p w:rsidR="00A85F69" w:rsidRPr="008343FB" w:rsidRDefault="00A85F69" w:rsidP="000E71EA">
      <w:pPr>
        <w:jc w:val="both"/>
      </w:pPr>
      <w:r w:rsidRPr="008343FB">
        <w:t>Předst</w:t>
      </w:r>
      <w:r w:rsidR="00AF05B7" w:rsidRPr="008343FB">
        <w:t>avenstvo</w:t>
      </w:r>
      <w:r w:rsidRPr="008343FB">
        <w:t xml:space="preserve"> ČAK poskytlo pro jednání sekce materiál</w:t>
      </w:r>
      <w:r w:rsidR="00CF451A">
        <w:t xml:space="preserve"> </w:t>
      </w:r>
      <w:r w:rsidR="008525F1">
        <w:t>týkající se zadávání veřejných zakázek</w:t>
      </w:r>
      <w:r w:rsidRPr="008343FB">
        <w:t xml:space="preserve">, který byl </w:t>
      </w:r>
      <w:r w:rsidR="00CF451A">
        <w:t xml:space="preserve">v roce 2012 </w:t>
      </w:r>
      <w:r w:rsidRPr="008343FB">
        <w:t>projednáván vlád</w:t>
      </w:r>
      <w:r w:rsidR="00CF451A">
        <w:t>ou</w:t>
      </w:r>
      <w:r w:rsidRPr="008343FB">
        <w:t xml:space="preserve"> ČR </w:t>
      </w:r>
      <w:r w:rsidR="00CF451A">
        <w:t xml:space="preserve">(předkladatelem bylo </w:t>
      </w:r>
      <w:r w:rsidRPr="008343FB">
        <w:t>M</w:t>
      </w:r>
      <w:r w:rsidR="00AF05B7" w:rsidRPr="008343FB">
        <w:t>inisterstvo</w:t>
      </w:r>
      <w:r w:rsidRPr="008343FB">
        <w:t xml:space="preserve"> pro míst</w:t>
      </w:r>
      <w:r w:rsidR="00AF05B7" w:rsidRPr="008343FB">
        <w:t>ní</w:t>
      </w:r>
      <w:r w:rsidRPr="008343FB">
        <w:t xml:space="preserve"> rozvoj</w:t>
      </w:r>
      <w:r w:rsidR="00CF451A">
        <w:t>)</w:t>
      </w:r>
      <w:r w:rsidR="008525F1">
        <w:t xml:space="preserve">, ve kterém </w:t>
      </w:r>
      <w:r w:rsidR="00AF05B7" w:rsidRPr="008343FB">
        <w:t xml:space="preserve">se </w:t>
      </w:r>
      <w:r w:rsidRPr="008343FB">
        <w:t xml:space="preserve">řeší otázka </w:t>
      </w:r>
      <w:r w:rsidR="008525F1">
        <w:t xml:space="preserve">vzorové </w:t>
      </w:r>
      <w:r w:rsidRPr="008343FB">
        <w:t xml:space="preserve">zadávací dokumentace </w:t>
      </w:r>
      <w:r w:rsidR="008525F1">
        <w:t xml:space="preserve">na </w:t>
      </w:r>
      <w:r w:rsidRPr="008343FB">
        <w:t>veřejné zakázky</w:t>
      </w:r>
      <w:r w:rsidR="008525F1">
        <w:t xml:space="preserve">, včetně veřejných zakázek </w:t>
      </w:r>
      <w:r w:rsidR="008525F1">
        <w:lastRenderedPageBreak/>
        <w:t>na právní služby</w:t>
      </w:r>
      <w:r w:rsidRPr="008343FB">
        <w:t>. Tento materiál byl rozeslán členům sekce s požadavkem na případné připomínky. Konstatuje se, že advokátní kancelář Hartmann</w:t>
      </w:r>
      <w:r w:rsidR="000E71EA" w:rsidRPr="008343FB">
        <w:t xml:space="preserve">, Jelínek, Fráňa a spol. </w:t>
      </w:r>
      <w:r w:rsidRPr="008343FB">
        <w:t xml:space="preserve">s.r.o. zpracovala podrobné právní stanovisko, které členům sekce </w:t>
      </w:r>
      <w:r w:rsidR="00AF05B7" w:rsidRPr="008343FB">
        <w:t>JUD</w:t>
      </w:r>
      <w:r w:rsidRPr="008343FB">
        <w:t>r. Hartmann ještě před zasedáním sekce písemně zaslal k dnešnímu projednání.</w:t>
      </w:r>
    </w:p>
    <w:p w:rsidR="00A85F69" w:rsidRDefault="00A85F69" w:rsidP="00042043">
      <w:pPr>
        <w:jc w:val="both"/>
      </w:pPr>
      <w:r w:rsidRPr="008343FB">
        <w:t xml:space="preserve">Na to </w:t>
      </w:r>
      <w:r w:rsidR="008525F1">
        <w:t xml:space="preserve">je </w:t>
      </w:r>
      <w:r w:rsidRPr="008343FB">
        <w:t xml:space="preserve">konstatováno, že </w:t>
      </w:r>
      <w:r w:rsidR="00AF05B7" w:rsidRPr="008343FB">
        <w:t xml:space="preserve">materiál je zpracován velmi podrobně a proto sekce doporučuje, aby se jím zabývalo představenstvo ČAK s tím, že by bylo vhodné, aby pověřilo dr. Hartmanna další součinností s platformou administrátorů </w:t>
      </w:r>
      <w:r w:rsidR="008525F1">
        <w:t>veřejných zakázek tak</w:t>
      </w:r>
      <w:r w:rsidR="00AF05B7" w:rsidRPr="008343FB">
        <w:t xml:space="preserve">, aby bylo možno dosáhnout příslušné změny </w:t>
      </w:r>
      <w:r w:rsidR="008525F1">
        <w:t xml:space="preserve">vzorové </w:t>
      </w:r>
      <w:r w:rsidR="00AF05B7" w:rsidRPr="008343FB">
        <w:t>zadávací dokumentace.</w:t>
      </w:r>
    </w:p>
    <w:p w:rsidR="008525F1" w:rsidRDefault="008525F1" w:rsidP="00042043">
      <w:pPr>
        <w:jc w:val="both"/>
      </w:pPr>
    </w:p>
    <w:p w:rsidR="008525F1" w:rsidRPr="008343FB" w:rsidRDefault="008525F1" w:rsidP="00042043">
      <w:pPr>
        <w:jc w:val="both"/>
      </w:pPr>
      <w:r>
        <w:t>Na závěr poděkoval předseda sekce dr. Brož všem přítomným členům za účast.</w:t>
      </w:r>
    </w:p>
    <w:sectPr w:rsidR="008525F1" w:rsidRPr="008343FB" w:rsidSect="0042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9F7"/>
    <w:multiLevelType w:val="hybridMultilevel"/>
    <w:tmpl w:val="14CAEB4E"/>
    <w:lvl w:ilvl="0" w:tplc="8ECEEC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A5EC6"/>
    <w:multiLevelType w:val="hybridMultilevel"/>
    <w:tmpl w:val="D67CFC8C"/>
    <w:lvl w:ilvl="0" w:tplc="83E434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733"/>
    <w:rsid w:val="000271EA"/>
    <w:rsid w:val="00042043"/>
    <w:rsid w:val="000E71EA"/>
    <w:rsid w:val="002F5C5B"/>
    <w:rsid w:val="00384471"/>
    <w:rsid w:val="00420A60"/>
    <w:rsid w:val="00677F6B"/>
    <w:rsid w:val="00681D97"/>
    <w:rsid w:val="008343FB"/>
    <w:rsid w:val="00851245"/>
    <w:rsid w:val="008525F1"/>
    <w:rsid w:val="008D25A7"/>
    <w:rsid w:val="00936733"/>
    <w:rsid w:val="00957798"/>
    <w:rsid w:val="009873AB"/>
    <w:rsid w:val="00995D8A"/>
    <w:rsid w:val="009F3F5A"/>
    <w:rsid w:val="00A03203"/>
    <w:rsid w:val="00A104F6"/>
    <w:rsid w:val="00A85F69"/>
    <w:rsid w:val="00AF05B7"/>
    <w:rsid w:val="00C517CF"/>
    <w:rsid w:val="00C55464"/>
    <w:rsid w:val="00C74F6E"/>
    <w:rsid w:val="00C87DF8"/>
    <w:rsid w:val="00C93A3B"/>
    <w:rsid w:val="00CF451A"/>
    <w:rsid w:val="00ED349D"/>
    <w:rsid w:val="00F40FFF"/>
    <w:rsid w:val="00FC478C"/>
    <w:rsid w:val="00FE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A6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2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F69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D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D25A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2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zapis</dc:creator>
  <cp:lastModifiedBy>linkova</cp:lastModifiedBy>
  <cp:revision>2</cp:revision>
  <cp:lastPrinted>2013-01-29T12:41:00Z</cp:lastPrinted>
  <dcterms:created xsi:type="dcterms:W3CDTF">2013-02-05T15:56:00Z</dcterms:created>
  <dcterms:modified xsi:type="dcterms:W3CDTF">2013-02-05T15:56:00Z</dcterms:modified>
</cp:coreProperties>
</file>