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F8" w:rsidRPr="00524885" w:rsidRDefault="00652EF8" w:rsidP="00652EF8">
      <w:pPr>
        <w:pStyle w:val="Normlnweb"/>
      </w:pPr>
      <w:bookmarkStart w:id="0" w:name="_GoBack"/>
      <w:r w:rsidRPr="00524885">
        <w:rPr>
          <w:rStyle w:val="Siln"/>
          <w:i/>
          <w:iCs/>
        </w:rPr>
        <w:t>HOWALD MOOR a další proti Švýcarsku</w:t>
      </w:r>
    </w:p>
    <w:bookmarkEnd w:id="0"/>
    <w:p w:rsidR="00652EF8" w:rsidRPr="00524885" w:rsidRDefault="00652EF8" w:rsidP="00652EF8">
      <w:pPr>
        <w:pStyle w:val="Normlnweb"/>
      </w:pPr>
      <w:r w:rsidRPr="00524885">
        <w:t>Rozsudek z 11. března 2014</w:t>
      </w:r>
    </w:p>
    <w:p w:rsidR="00652EF8" w:rsidRPr="00524885" w:rsidRDefault="00652EF8" w:rsidP="00652EF8">
      <w:pPr>
        <w:pStyle w:val="Normlnweb"/>
        <w:jc w:val="both"/>
      </w:pPr>
      <w:r w:rsidRPr="00524885">
        <w:rPr>
          <w:rStyle w:val="Siln"/>
        </w:rPr>
        <w:t>Desetileté omezení k podání námitek týkajících se přítomnosti azbestu bez ohledu na to, zda žadatel věděl o jeho negativním vlivu.</w:t>
      </w:r>
      <w:r w:rsidRPr="00524885">
        <w:t xml:space="preserve"> Stěžovatelkami jsou vdova a její dvě dcery po mechanikovi, který zemřel v roce 2005 v důsledku nemoci způsobené azbestem, kterému byl vystaven během výkonu své pracovní činnosti. Dcery pokračovaly v řízení dříve zahájeném jejich otcem proti jeho zaměstnavateli. Jejich matka též žádala kompenzaci za morální újmu, kterou utrpěla. Všechny jejich nároky byly odmítnuty jako promlčené, neboť desetiletá promlčecí lhůta pro jejich předložení začala běžet, jakmile byly vynutitelné bez ohledu na to, zda žadatel věděl o důsledcích působení azbestu.</w:t>
      </w:r>
    </w:p>
    <w:p w:rsidR="00652EF8" w:rsidRPr="00524885" w:rsidRDefault="00652EF8" w:rsidP="00652EF8">
      <w:pPr>
        <w:pStyle w:val="Normlnweb"/>
        <w:jc w:val="both"/>
      </w:pPr>
      <w:r w:rsidRPr="00524885">
        <w:t>Před ESLP stěžovatelkami brojily proti způsobu, jakým byl stanoven počátek lhůty podle švýcarského práva pro poškozené vystavených azbestu. Vzhledem k tomu, že latentní období nemoci může trvat až několik desetiletí, pevná desetiletá lhůta, která podle tehdy platného zákona a judikatury Federálního soudu začínala běžet ode dne, kdy dotčená osoba byla vystavena azbestovému prachu, ve většině případů marně uplynula. Kterákoli námitka na náhradu škody byla dopředu odsouzena k nezdaru.</w:t>
      </w:r>
    </w:p>
    <w:p w:rsidR="00027DA1" w:rsidRPr="00652EF8" w:rsidRDefault="00652EF8" w:rsidP="00652EF8">
      <w:pPr>
        <w:pStyle w:val="Normlnweb"/>
        <w:jc w:val="both"/>
      </w:pPr>
      <w:r w:rsidRPr="00524885">
        <w:t>Podle názoru ESLP promlčecí lhůty sledovaly legitimní cíl, totiž zajištění právní jistoty. Pokud šlo o jejich přiměřenost, systematická aplikace na osoby trpící nemocemi, které jako např. nemoci způsobené dlouhodobým kontaktem s azbestem, které nebylo možno diagnostikovat než po uplynutí mnoha let po události, která ji spustila, odebrala pacientům možnost domoci se náhrady škody před soudem. ESLP judikoval, že v případech, kdy bylo vědecky prokázáno, že dotčená osoba nemohla vědět, že trpí určitou nemocí, měl by tento fakt být brán v úvahu při stanovení promlčecí lhůty. Za těchto okolností aplikace promlčecí lhůty omezila právo stěžovatelek na přístup k soudu do té míry, že došlo k zásahu do podstaty tohoto práva, a tedy k porušení článku 6 Úmluvy.</w:t>
      </w:r>
    </w:p>
    <w:sectPr w:rsidR="00027DA1" w:rsidRPr="00652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2F"/>
    <w:rsid w:val="00027DA1"/>
    <w:rsid w:val="001A5B2F"/>
    <w:rsid w:val="00652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B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2E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2E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B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2E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2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1697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2015-03-19T15:24:00Z</dcterms:created>
  <dcterms:modified xsi:type="dcterms:W3CDTF">2015-03-19T15:24:00Z</dcterms:modified>
</cp:coreProperties>
</file>