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F2" w:rsidRPr="00693BF0" w:rsidRDefault="006E1F23" w:rsidP="00FC72F2">
      <w:pPr>
        <w:rPr>
          <w:rFonts w:ascii="Verdana" w:hAnsi="Verdana"/>
          <w:sz w:val="18"/>
          <w:szCs w:val="18"/>
          <w:lang w:val="en-US"/>
        </w:rPr>
      </w:pPr>
      <w:bookmarkStart w:id="0" w:name="_GoBack"/>
      <w:bookmarkEnd w:id="0"/>
      <w:r>
        <w:rPr>
          <w:rFonts w:ascii="Verdana" w:hAnsi="Verdana"/>
          <w:noProof/>
          <w:sz w:val="18"/>
          <w:szCs w:val="18"/>
          <w:lang w:val="cs-CZ" w:eastAsia="cs-CZ"/>
        </w:rPr>
        <mc:AlternateContent>
          <mc:Choice Requires="wps">
            <w:drawing>
              <wp:anchor distT="0" distB="0" distL="114300" distR="114300" simplePos="0" relativeHeight="251661312" behindDoc="0" locked="0" layoutInCell="1" allowOverlap="1" wp14:anchorId="7408C4B0" wp14:editId="0F6E9BDC">
                <wp:simplePos x="0" y="0"/>
                <wp:positionH relativeFrom="column">
                  <wp:posOffset>-341630</wp:posOffset>
                </wp:positionH>
                <wp:positionV relativeFrom="paragraph">
                  <wp:posOffset>477520</wp:posOffset>
                </wp:positionV>
                <wp:extent cx="6520915" cy="755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20915" cy="755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821" w:rsidRPr="004C15DC" w:rsidRDefault="007F4821" w:rsidP="000E4ED0">
                            <w:pPr>
                              <w:spacing w:after="120"/>
                              <w:rPr>
                                <w:rFonts w:ascii="Arial" w:hAnsi="Arial" w:cs="Arial"/>
                                <w:b/>
                                <w:i/>
                                <w:color w:val="002060"/>
                                <w:sz w:val="22"/>
                                <w:szCs w:val="22"/>
                                <w:lang w:val="en-GB"/>
                              </w:rPr>
                            </w:pPr>
                            <w:r w:rsidRPr="004C15DC">
                              <w:rPr>
                                <w:rFonts w:ascii="Arial" w:hAnsi="Arial" w:cs="Arial"/>
                                <w:b/>
                                <w:i/>
                                <w:color w:val="002060"/>
                                <w:sz w:val="22"/>
                                <w:szCs w:val="22"/>
                                <w:lang w:val="en-GB"/>
                              </w:rPr>
                              <w:t>What sets apart the Sledgehammer case (Balyoz Harekâtı)? What did the defence lawyers face?</w:t>
                            </w:r>
                          </w:p>
                          <w:p w:rsidR="007F4821" w:rsidRPr="004C15DC" w:rsidRDefault="007F4821" w:rsidP="000E4ED0">
                            <w:pPr>
                              <w:spacing w:after="120"/>
                              <w:jc w:val="both"/>
                              <w:rPr>
                                <w:rFonts w:ascii="Arial" w:hAnsi="Arial" w:cs="Arial"/>
                                <w:b/>
                                <w:sz w:val="22"/>
                                <w:szCs w:val="22"/>
                                <w:lang w:val="en-GB"/>
                              </w:rPr>
                            </w:pPr>
                            <w:r w:rsidRPr="004C15DC">
                              <w:rPr>
                                <w:rFonts w:ascii="Arial" w:hAnsi="Arial" w:cs="Arial"/>
                                <w:sz w:val="22"/>
                                <w:szCs w:val="22"/>
                                <w:lang w:val="en-GB"/>
                              </w:rPr>
                              <w:tab/>
                              <w:t xml:space="preserve">Before the 2011 referendum, the judiciary supervised the government under constitutional law. The Prime Minister had openly expressed that the judiciary was impeding the government. A defamation campaign was launched against the judiciary and the Supreme Board of Judges and Prosecutors (HSYK) via the media, which is under government control. Likewise, a constitutional amendment package was drafted - and passed - to change the structure of the HSYK and the Constitutional Court, to place them under government control. The media reported that the change was for democracy. The result is that the judiciary has been a tool used to discharge and intimidate the opposition, under the </w:t>
                            </w:r>
                            <w:r w:rsidRPr="004C15DC">
                              <w:rPr>
                                <w:rFonts w:ascii="Arial" w:hAnsi="Arial" w:cs="Arial"/>
                                <w:i/>
                                <w:sz w:val="22"/>
                                <w:szCs w:val="22"/>
                                <w:lang w:val="en-GB"/>
                              </w:rPr>
                              <w:t>façade</w:t>
                            </w:r>
                            <w:r w:rsidRPr="004C15DC">
                              <w:rPr>
                                <w:rFonts w:ascii="Arial" w:hAnsi="Arial" w:cs="Arial"/>
                                <w:sz w:val="22"/>
                                <w:szCs w:val="22"/>
                                <w:lang w:val="en-GB"/>
                              </w:rPr>
                              <w:t xml:space="preserve"> of real trials</w:t>
                            </w:r>
                            <w:r w:rsidR="003B7FAF">
                              <w:rPr>
                                <w:rFonts w:ascii="Arial" w:hAnsi="Arial" w:cs="Arial"/>
                                <w:sz w:val="22"/>
                                <w:szCs w:val="22"/>
                                <w:lang w:val="en-GB"/>
                              </w:rPr>
                              <w:t>,</w:t>
                            </w:r>
                            <w:r w:rsidRPr="004C15DC">
                              <w:rPr>
                                <w:rFonts w:ascii="Arial" w:hAnsi="Arial" w:cs="Arial"/>
                                <w:sz w:val="22"/>
                                <w:szCs w:val="22"/>
                                <w:lang w:val="en-GB"/>
                              </w:rPr>
                              <w:t xml:space="preserve"> which </w:t>
                            </w:r>
                            <w:r w:rsidR="003B7FAF">
                              <w:rPr>
                                <w:rFonts w:ascii="Arial" w:hAnsi="Arial" w:cs="Arial"/>
                                <w:sz w:val="22"/>
                                <w:szCs w:val="22"/>
                                <w:lang w:val="en-GB"/>
                              </w:rPr>
                              <w:t xml:space="preserve">then </w:t>
                            </w:r>
                            <w:r w:rsidRPr="004C15DC">
                              <w:rPr>
                                <w:rFonts w:ascii="Arial" w:hAnsi="Arial" w:cs="Arial"/>
                                <w:sz w:val="22"/>
                                <w:szCs w:val="22"/>
                                <w:lang w:val="en-GB"/>
                              </w:rPr>
                              <w:t>generate</w:t>
                            </w:r>
                            <w:r w:rsidR="003B7FAF">
                              <w:rPr>
                                <w:rFonts w:ascii="Arial" w:hAnsi="Arial" w:cs="Arial"/>
                                <w:sz w:val="22"/>
                                <w:szCs w:val="22"/>
                                <w:lang w:val="en-GB"/>
                              </w:rPr>
                              <w:t>s</w:t>
                            </w:r>
                            <w:r w:rsidRPr="004C15DC">
                              <w:rPr>
                                <w:rFonts w:ascii="Arial" w:hAnsi="Arial" w:cs="Arial"/>
                                <w:sz w:val="22"/>
                                <w:szCs w:val="22"/>
                                <w:lang w:val="en-GB"/>
                              </w:rPr>
                              <w:t xml:space="preserve"> a sense of lawful legitimacy.  </w:t>
                            </w:r>
                          </w:p>
                          <w:p w:rsidR="007F4821" w:rsidRPr="004C15DC" w:rsidRDefault="007F4821" w:rsidP="001A7453">
                            <w:pPr>
                              <w:spacing w:after="360"/>
                              <w:ind w:firstLine="709"/>
                              <w:jc w:val="both"/>
                              <w:rPr>
                                <w:rFonts w:ascii="Arial" w:hAnsi="Arial" w:cs="Arial"/>
                                <w:sz w:val="22"/>
                                <w:szCs w:val="22"/>
                                <w:lang w:val="en-GB"/>
                              </w:rPr>
                            </w:pPr>
                            <w:r w:rsidRPr="004C15DC">
                              <w:rPr>
                                <w:rFonts w:ascii="Arial" w:hAnsi="Arial" w:cs="Arial"/>
                                <w:sz w:val="22"/>
                                <w:szCs w:val="22"/>
                                <w:lang w:val="en-GB"/>
                              </w:rPr>
                              <w:t xml:space="preserve">In the </w:t>
                            </w:r>
                            <w:r w:rsidRPr="004C15DC">
                              <w:rPr>
                                <w:rFonts w:ascii="Arial" w:hAnsi="Arial" w:cs="Arial"/>
                                <w:i/>
                                <w:sz w:val="22"/>
                                <w:szCs w:val="22"/>
                                <w:lang w:val="en-GB"/>
                              </w:rPr>
                              <w:t>Sledgehammer</w:t>
                            </w:r>
                            <w:r w:rsidRPr="004C15DC">
                              <w:rPr>
                                <w:rFonts w:ascii="Arial" w:hAnsi="Arial" w:cs="Arial"/>
                                <w:sz w:val="22"/>
                                <w:szCs w:val="22"/>
                                <w:lang w:val="en-GB"/>
                              </w:rPr>
                              <w:t xml:space="preserve"> case (Balyoz), prosecutors alleged that military generals attempted to destabilize Turkey by staging a coup, in an effort to overthrow the Turkish government. The 10</w:t>
                            </w:r>
                            <w:r w:rsidRPr="004C15DC">
                              <w:rPr>
                                <w:rFonts w:ascii="Arial" w:hAnsi="Arial" w:cs="Arial"/>
                                <w:sz w:val="22"/>
                                <w:szCs w:val="22"/>
                                <w:vertAlign w:val="superscript"/>
                                <w:lang w:val="en-GB"/>
                              </w:rPr>
                              <w:t>th</w:t>
                            </w:r>
                            <w:r w:rsidRPr="004C15DC">
                              <w:rPr>
                                <w:rFonts w:ascii="Arial" w:hAnsi="Arial" w:cs="Arial"/>
                                <w:sz w:val="22"/>
                                <w:szCs w:val="22"/>
                                <w:lang w:val="en-GB"/>
                              </w:rPr>
                              <w:t xml:space="preserve"> High Criminal Court hearing the case was a Court with Special Authority. Three days before the case began, the presiding judge was replaced. From the beginning, the court did not seem independent in the eyes of defendants or the defence counsel: there was no professional respect towards the defence </w:t>
                            </w:r>
                            <w:r w:rsidR="00A71D38">
                              <w:rPr>
                                <w:rFonts w:ascii="Arial" w:hAnsi="Arial" w:cs="Arial"/>
                                <w:sz w:val="22"/>
                                <w:szCs w:val="22"/>
                                <w:lang w:val="en-GB"/>
                              </w:rPr>
                              <w:t>nor was the</w:t>
                            </w:r>
                            <w:r w:rsidRPr="004C15DC">
                              <w:rPr>
                                <w:rFonts w:ascii="Arial" w:hAnsi="Arial" w:cs="Arial"/>
                                <w:sz w:val="22"/>
                                <w:szCs w:val="22"/>
                                <w:lang w:val="en-GB"/>
                              </w:rPr>
                              <w:t xml:space="preserve"> constituents’ right to a fair trial taken into consideration. The presiding judge argued with the defence counsel and defendants, did not give enough time for the defence to present their case, and did not allow a discussion of evidence. Defence counsel speaking on the floor were removed from the courtroom under disciplinary sanctions and prohibited from attending hearings. Lawyers were physically attacked by police before court. Private conversations among lawyers</w:t>
                            </w:r>
                            <w:r w:rsidR="00A71D38">
                              <w:rPr>
                                <w:rFonts w:ascii="Arial" w:hAnsi="Arial" w:cs="Arial"/>
                                <w:sz w:val="22"/>
                                <w:szCs w:val="22"/>
                                <w:lang w:val="en-GB"/>
                              </w:rPr>
                              <w:t>,</w:t>
                            </w:r>
                            <w:r w:rsidRPr="004C15DC">
                              <w:rPr>
                                <w:rFonts w:ascii="Arial" w:hAnsi="Arial" w:cs="Arial"/>
                                <w:sz w:val="22"/>
                                <w:szCs w:val="22"/>
                                <w:lang w:val="en-GB"/>
                              </w:rPr>
                              <w:t xml:space="preserve"> and between lawyers and their clients</w:t>
                            </w:r>
                            <w:r w:rsidR="00A71D38">
                              <w:rPr>
                                <w:rFonts w:ascii="Arial" w:hAnsi="Arial" w:cs="Arial"/>
                                <w:sz w:val="22"/>
                                <w:szCs w:val="22"/>
                                <w:lang w:val="en-GB"/>
                              </w:rPr>
                              <w:t>,</w:t>
                            </w:r>
                            <w:r w:rsidRPr="004C15DC">
                              <w:rPr>
                                <w:rFonts w:ascii="Arial" w:hAnsi="Arial" w:cs="Arial"/>
                                <w:sz w:val="22"/>
                                <w:szCs w:val="22"/>
                                <w:lang w:val="en-GB"/>
                              </w:rPr>
                              <w:t xml:space="preserve"> were monitored and recorded. Barriers between lawyers and clients prevented contact and the exchange of documents. Insistent statements of falsified evidence were disregarded without any research into the issue. According to our Bar Association, who attended the hearings as an observer, most </w:t>
                            </w:r>
                            <w:r w:rsidRPr="00E20C39">
                              <w:rPr>
                                <w:rFonts w:ascii="Arial" w:hAnsi="Arial" w:cs="Arial"/>
                                <w:sz w:val="22"/>
                                <w:szCs w:val="22"/>
                                <w:lang w:val="en-GB"/>
                              </w:rPr>
                              <w:t>of the prosecution</w:t>
                            </w:r>
                            <w:r w:rsidR="00D62C7D" w:rsidRPr="00E20C39">
                              <w:rPr>
                                <w:rFonts w:ascii="Arial" w:hAnsi="Arial" w:cs="Arial"/>
                                <w:sz w:val="22"/>
                                <w:szCs w:val="22"/>
                                <w:lang w:val="en-GB"/>
                              </w:rPr>
                              <w:t>’s</w:t>
                            </w:r>
                            <w:r w:rsidRPr="00E20C39">
                              <w:rPr>
                                <w:rFonts w:ascii="Arial" w:hAnsi="Arial" w:cs="Arial"/>
                                <w:sz w:val="22"/>
                                <w:szCs w:val="22"/>
                                <w:lang w:val="en-GB"/>
                              </w:rPr>
                              <w:t xml:space="preserve"> demands were accepted, while only </w:t>
                            </w:r>
                            <w:r w:rsidR="00D62C7D" w:rsidRPr="00E20C39">
                              <w:rPr>
                                <w:rFonts w:ascii="Arial" w:hAnsi="Arial" w:cs="Arial"/>
                                <w:sz w:val="22"/>
                                <w:szCs w:val="22"/>
                                <w:lang w:val="en-GB"/>
                              </w:rPr>
                              <w:t>a few</w:t>
                            </w:r>
                            <w:r w:rsidRPr="00E20C39">
                              <w:rPr>
                                <w:rFonts w:ascii="Arial" w:hAnsi="Arial" w:cs="Arial"/>
                                <w:sz w:val="22"/>
                                <w:szCs w:val="22"/>
                                <w:lang w:val="en-GB"/>
                              </w:rPr>
                              <w:t xml:space="preserve"> defence</w:t>
                            </w:r>
                            <w:r w:rsidRPr="004C15DC">
                              <w:rPr>
                                <w:rFonts w:ascii="Arial" w:hAnsi="Arial" w:cs="Arial"/>
                                <w:sz w:val="22"/>
                                <w:szCs w:val="22"/>
                                <w:lang w:val="en-GB"/>
                              </w:rPr>
                              <w:t xml:space="preserve"> counsel demands were accepted. </w:t>
                            </w:r>
                          </w:p>
                          <w:p w:rsidR="007F4821" w:rsidRPr="004C15DC" w:rsidRDefault="007F4821" w:rsidP="000E4ED0">
                            <w:pPr>
                              <w:spacing w:after="120"/>
                              <w:jc w:val="both"/>
                              <w:rPr>
                                <w:rFonts w:ascii="Arial" w:hAnsi="Arial" w:cs="Arial"/>
                                <w:i/>
                                <w:color w:val="002060"/>
                                <w:sz w:val="22"/>
                                <w:szCs w:val="22"/>
                                <w:lang w:val="en-GB"/>
                              </w:rPr>
                            </w:pPr>
                            <w:r w:rsidRPr="004C15DC">
                              <w:rPr>
                                <w:rFonts w:ascii="Arial" w:hAnsi="Arial" w:cs="Arial"/>
                                <w:b/>
                                <w:i/>
                                <w:color w:val="002060"/>
                                <w:sz w:val="22"/>
                                <w:szCs w:val="22"/>
                                <w:lang w:val="en-GB"/>
                              </w:rPr>
                              <w:t>How did you justify the decision not to appoint defence lawyers in this case?</w:t>
                            </w:r>
                          </w:p>
                          <w:p w:rsidR="000E4ED0" w:rsidRPr="004C15DC" w:rsidRDefault="007F4821" w:rsidP="000E4ED0">
                            <w:pPr>
                              <w:spacing w:after="120"/>
                              <w:jc w:val="both"/>
                              <w:rPr>
                                <w:rFonts w:ascii="Arial" w:hAnsi="Arial" w:cs="Arial"/>
                                <w:sz w:val="22"/>
                                <w:szCs w:val="22"/>
                                <w:lang w:val="en-GB"/>
                              </w:rPr>
                            </w:pPr>
                            <w:r w:rsidRPr="004C15DC">
                              <w:rPr>
                                <w:rFonts w:ascii="Arial" w:hAnsi="Arial" w:cs="Arial"/>
                                <w:sz w:val="22"/>
                                <w:szCs w:val="22"/>
                                <w:lang w:val="en-GB"/>
                              </w:rPr>
                              <w:tab/>
                              <w:t xml:space="preserve">Our decision not to appoint lawyers concerns the legal process. When our lawyers could no longer fulfil their duty due to the restrictions determined by the court, they left the courtroom in order to protect the honour of the profession. As proceedings require mandatory defence counsel, the Court </w:t>
                            </w:r>
                            <w:r w:rsidR="000E4ED0" w:rsidRPr="004C15DC">
                              <w:rPr>
                                <w:rFonts w:ascii="Arial" w:hAnsi="Arial" w:cs="Arial"/>
                                <w:sz w:val="22"/>
                                <w:szCs w:val="22"/>
                                <w:lang w:val="en-GB"/>
                              </w:rPr>
                              <w:t xml:space="preserve">asked the Bar Association to appoint lawyers. However, in order for the Bar Association to appoint lawyers within the mandatory defence counsel mechanism, </w:t>
                            </w:r>
                            <w:r w:rsidR="00D87A96" w:rsidRPr="00D87A96">
                              <w:rPr>
                                <w:rFonts w:ascii="Arial" w:hAnsi="Arial" w:cs="Arial"/>
                                <w:sz w:val="22"/>
                                <w:szCs w:val="22"/>
                                <w:lang w:val="en-GB"/>
                              </w:rPr>
                              <w:t>it is a must that the defendants shall not already have a defen</w:t>
                            </w:r>
                            <w:r w:rsidR="00D87A96">
                              <w:rPr>
                                <w:rFonts w:ascii="Arial" w:hAnsi="Arial" w:cs="Arial"/>
                                <w:sz w:val="22"/>
                                <w:szCs w:val="22"/>
                                <w:lang w:val="en-GB"/>
                              </w:rPr>
                              <w:t>c</w:t>
                            </w:r>
                            <w:r w:rsidR="00D87A96" w:rsidRPr="00D87A96">
                              <w:rPr>
                                <w:rFonts w:ascii="Arial" w:hAnsi="Arial" w:cs="Arial"/>
                                <w:sz w:val="22"/>
                                <w:szCs w:val="22"/>
                                <w:lang w:val="en-GB"/>
                              </w:rPr>
                              <w:t>e counsel selected by themselves</w:t>
                            </w:r>
                            <w:r w:rsidR="000E4ED0" w:rsidRPr="00D87A96">
                              <w:rPr>
                                <w:rFonts w:ascii="Arial" w:hAnsi="Arial" w:cs="Arial"/>
                                <w:sz w:val="22"/>
                                <w:szCs w:val="22"/>
                                <w:lang w:val="en-GB"/>
                              </w:rPr>
                              <w:t>.</w:t>
                            </w:r>
                            <w:r w:rsidR="000E4ED0" w:rsidRPr="004C15DC">
                              <w:rPr>
                                <w:rFonts w:ascii="Arial" w:hAnsi="Arial" w:cs="Arial"/>
                                <w:sz w:val="22"/>
                                <w:szCs w:val="22"/>
                                <w:lang w:val="en-GB"/>
                              </w:rPr>
                              <w:t xml:space="preserve"> The Bar Association, in a letter of reply to the Court, explained this legal situation. The Court insisted that lawyers were liable to attend the hearings and noted that criminal action would be taken against the President and Board Members of the Bar Association. The Ministry of Justice gave permission for an investigation and a criminal investigation was initiated. </w:t>
                            </w:r>
                          </w:p>
                          <w:p w:rsidR="00231962" w:rsidRPr="004C15DC" w:rsidRDefault="000E4ED0" w:rsidP="005C41C8">
                            <w:pPr>
                              <w:spacing w:after="120"/>
                              <w:ind w:firstLine="708"/>
                              <w:jc w:val="both"/>
                              <w:rPr>
                                <w:rFonts w:ascii="Arial" w:hAnsi="Arial" w:cs="Arial"/>
                                <w:sz w:val="22"/>
                                <w:szCs w:val="22"/>
                                <w:lang w:val="en-US"/>
                              </w:rPr>
                            </w:pPr>
                            <w:r w:rsidRPr="004C15DC">
                              <w:rPr>
                                <w:rFonts w:ascii="Arial" w:hAnsi="Arial" w:cs="Arial"/>
                                <w:sz w:val="22"/>
                                <w:szCs w:val="22"/>
                                <w:lang w:val="en-GB"/>
                              </w:rPr>
                              <w:t>Despite this, a Supreme Court precedent ruled that such a Bar Association appointment is not possible if there is no information or documents in the file concerning the discharge or resignation of the lawyer chosen by the defendant. In this incident, non-attendance of lawyers at the hearing was not arbitrary, but legitimate and honourable self-defence of the protection of the clients’ rights and the profession. The relevant Supreme Court decision was annexed to our letter of reply and the Court’s demand rejected, as there was no discharge or resignation. Furthermore, we highlighted ‘reciprocity in relations with the judiciary’ (Attorneys’ Code of Conduct, Article 15) in response to the Court indicating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pt;margin-top:37.6pt;width:513.4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AmiwIAAIsFAAAOAAAAZHJzL2Uyb0RvYy54bWysVE1PGzEQvVfqf7B8L5sEQk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" fillcolor="white [3201]" stroked="f" strokeweight=".5pt">
                <v:textbox>
                  <w:txbxContent>
                    <w:p w:rsidR="007F4821" w:rsidRPr="004C15DC" w:rsidRDefault="007F4821" w:rsidP="000E4ED0">
                      <w:pPr>
                        <w:spacing w:after="120"/>
                        <w:rPr>
                          <w:rFonts w:ascii="Arial" w:hAnsi="Arial" w:cs="Arial"/>
                          <w:b/>
                          <w:i/>
                          <w:color w:val="002060"/>
                          <w:sz w:val="22"/>
                          <w:szCs w:val="22"/>
                          <w:lang w:val="en-GB"/>
                        </w:rPr>
                      </w:pPr>
                      <w:r w:rsidRPr="004C15DC">
                        <w:rPr>
                          <w:rFonts w:ascii="Arial" w:hAnsi="Arial" w:cs="Arial"/>
                          <w:b/>
                          <w:i/>
                          <w:color w:val="002060"/>
                          <w:sz w:val="22"/>
                          <w:szCs w:val="22"/>
                          <w:lang w:val="en-GB"/>
                        </w:rPr>
                        <w:t>What sets apart the Sledgehammer case (Balyoz Harekâtı)? What did the defence lawyers face?</w:t>
                      </w:r>
                    </w:p>
                    <w:p w:rsidR="007F4821" w:rsidRPr="004C15DC" w:rsidRDefault="007F4821" w:rsidP="000E4ED0">
                      <w:pPr>
                        <w:spacing w:after="120"/>
                        <w:jc w:val="both"/>
                        <w:rPr>
                          <w:rFonts w:ascii="Arial" w:hAnsi="Arial" w:cs="Arial"/>
                          <w:b/>
                          <w:sz w:val="22"/>
                          <w:szCs w:val="22"/>
                          <w:lang w:val="en-GB"/>
                        </w:rPr>
                      </w:pPr>
                      <w:r w:rsidRPr="004C15DC">
                        <w:rPr>
                          <w:rFonts w:ascii="Arial" w:hAnsi="Arial" w:cs="Arial"/>
                          <w:sz w:val="22"/>
                          <w:szCs w:val="22"/>
                          <w:lang w:val="en-GB"/>
                        </w:rPr>
                        <w:tab/>
                        <w:t xml:space="preserve">Before the 2011 referendum, the judiciary supervised the government under constitutional law. The Prime Minister had openly expressed that the judiciary was impeding the government. A defamation campaign was launched against the judiciary and the Supreme Board of Judges and Prosecutors (HSYK) via the media, which is under government control. Likewise, a constitutional amendment package was drafted - and passed - to change the structure of the HSYK and the Constitutional Court, to place them under government control. The media reported that the change was for democracy. The result is that the judiciary has been a tool used to discharge and intimidate the opposition, under the </w:t>
                      </w:r>
                      <w:r w:rsidRPr="004C15DC">
                        <w:rPr>
                          <w:rFonts w:ascii="Arial" w:hAnsi="Arial" w:cs="Arial"/>
                          <w:i/>
                          <w:sz w:val="22"/>
                          <w:szCs w:val="22"/>
                          <w:lang w:val="en-GB"/>
                        </w:rPr>
                        <w:t>façade</w:t>
                      </w:r>
                      <w:r w:rsidRPr="004C15DC">
                        <w:rPr>
                          <w:rFonts w:ascii="Arial" w:hAnsi="Arial" w:cs="Arial"/>
                          <w:sz w:val="22"/>
                          <w:szCs w:val="22"/>
                          <w:lang w:val="en-GB"/>
                        </w:rPr>
                        <w:t xml:space="preserve"> of real trials</w:t>
                      </w:r>
                      <w:r w:rsidR="003B7FAF">
                        <w:rPr>
                          <w:rFonts w:ascii="Arial" w:hAnsi="Arial" w:cs="Arial"/>
                          <w:sz w:val="22"/>
                          <w:szCs w:val="22"/>
                          <w:lang w:val="en-GB"/>
                        </w:rPr>
                        <w:t>,</w:t>
                      </w:r>
                      <w:r w:rsidRPr="004C15DC">
                        <w:rPr>
                          <w:rFonts w:ascii="Arial" w:hAnsi="Arial" w:cs="Arial"/>
                          <w:sz w:val="22"/>
                          <w:szCs w:val="22"/>
                          <w:lang w:val="en-GB"/>
                        </w:rPr>
                        <w:t xml:space="preserve"> which </w:t>
                      </w:r>
                      <w:r w:rsidR="003B7FAF">
                        <w:rPr>
                          <w:rFonts w:ascii="Arial" w:hAnsi="Arial" w:cs="Arial"/>
                          <w:sz w:val="22"/>
                          <w:szCs w:val="22"/>
                          <w:lang w:val="en-GB"/>
                        </w:rPr>
                        <w:t xml:space="preserve">then </w:t>
                      </w:r>
                      <w:r w:rsidRPr="004C15DC">
                        <w:rPr>
                          <w:rFonts w:ascii="Arial" w:hAnsi="Arial" w:cs="Arial"/>
                          <w:sz w:val="22"/>
                          <w:szCs w:val="22"/>
                          <w:lang w:val="en-GB"/>
                        </w:rPr>
                        <w:t>generate</w:t>
                      </w:r>
                      <w:r w:rsidR="003B7FAF">
                        <w:rPr>
                          <w:rFonts w:ascii="Arial" w:hAnsi="Arial" w:cs="Arial"/>
                          <w:sz w:val="22"/>
                          <w:szCs w:val="22"/>
                          <w:lang w:val="en-GB"/>
                        </w:rPr>
                        <w:t>s</w:t>
                      </w:r>
                      <w:r w:rsidRPr="004C15DC">
                        <w:rPr>
                          <w:rFonts w:ascii="Arial" w:hAnsi="Arial" w:cs="Arial"/>
                          <w:sz w:val="22"/>
                          <w:szCs w:val="22"/>
                          <w:lang w:val="en-GB"/>
                        </w:rPr>
                        <w:t xml:space="preserve"> a sense of lawful legitimacy.  </w:t>
                      </w:r>
                    </w:p>
                    <w:p w:rsidR="007F4821" w:rsidRPr="004C15DC" w:rsidRDefault="007F4821" w:rsidP="001A7453">
                      <w:pPr>
                        <w:spacing w:after="360"/>
                        <w:ind w:firstLine="709"/>
                        <w:jc w:val="both"/>
                        <w:rPr>
                          <w:rFonts w:ascii="Arial" w:hAnsi="Arial" w:cs="Arial"/>
                          <w:sz w:val="22"/>
                          <w:szCs w:val="22"/>
                          <w:lang w:val="en-GB"/>
                        </w:rPr>
                      </w:pPr>
                      <w:r w:rsidRPr="004C15DC">
                        <w:rPr>
                          <w:rFonts w:ascii="Arial" w:hAnsi="Arial" w:cs="Arial"/>
                          <w:sz w:val="22"/>
                          <w:szCs w:val="22"/>
                          <w:lang w:val="en-GB"/>
                        </w:rPr>
                        <w:t xml:space="preserve">In the </w:t>
                      </w:r>
                      <w:r w:rsidRPr="004C15DC">
                        <w:rPr>
                          <w:rFonts w:ascii="Arial" w:hAnsi="Arial" w:cs="Arial"/>
                          <w:i/>
                          <w:sz w:val="22"/>
                          <w:szCs w:val="22"/>
                          <w:lang w:val="en-GB"/>
                        </w:rPr>
                        <w:t>Sledgehammer</w:t>
                      </w:r>
                      <w:r w:rsidRPr="004C15DC">
                        <w:rPr>
                          <w:rFonts w:ascii="Arial" w:hAnsi="Arial" w:cs="Arial"/>
                          <w:sz w:val="22"/>
                          <w:szCs w:val="22"/>
                          <w:lang w:val="en-GB"/>
                        </w:rPr>
                        <w:t xml:space="preserve"> case (Balyoz), prosecutors alleged that military generals attempted to destabilize Turkey by staging a coup, in an effort to overthrow the Turkish government. The 10</w:t>
                      </w:r>
                      <w:r w:rsidRPr="004C15DC">
                        <w:rPr>
                          <w:rFonts w:ascii="Arial" w:hAnsi="Arial" w:cs="Arial"/>
                          <w:sz w:val="22"/>
                          <w:szCs w:val="22"/>
                          <w:vertAlign w:val="superscript"/>
                          <w:lang w:val="en-GB"/>
                        </w:rPr>
                        <w:t>th</w:t>
                      </w:r>
                      <w:r w:rsidRPr="004C15DC">
                        <w:rPr>
                          <w:rFonts w:ascii="Arial" w:hAnsi="Arial" w:cs="Arial"/>
                          <w:sz w:val="22"/>
                          <w:szCs w:val="22"/>
                          <w:lang w:val="en-GB"/>
                        </w:rPr>
                        <w:t xml:space="preserve"> High Criminal Court hearing the case was a Court with Special Authority. Three days before the case began, the presiding judge was replaced. From the beginning, the court did not seem independent in the eyes of defendants or the defence counsel: there was no professional respect towards the defence </w:t>
                      </w:r>
                      <w:r w:rsidR="00A71D38">
                        <w:rPr>
                          <w:rFonts w:ascii="Arial" w:hAnsi="Arial" w:cs="Arial"/>
                          <w:sz w:val="22"/>
                          <w:szCs w:val="22"/>
                          <w:lang w:val="en-GB"/>
                        </w:rPr>
                        <w:t>nor was the</w:t>
                      </w:r>
                      <w:r w:rsidRPr="004C15DC">
                        <w:rPr>
                          <w:rFonts w:ascii="Arial" w:hAnsi="Arial" w:cs="Arial"/>
                          <w:sz w:val="22"/>
                          <w:szCs w:val="22"/>
                          <w:lang w:val="en-GB"/>
                        </w:rPr>
                        <w:t xml:space="preserve"> constituents’ right to a fair trial taken into consideration. The presiding judge argued with the defence counsel and defendants, did not give enough time for the defence to present their case, and did not allow a discussion of evidence. Defence counsel speaking on the floor were removed from the courtroom under disciplinary sanctions and prohibited from attending hearings. Lawyers were physically attacked by police before court. Private conversations among lawyers</w:t>
                      </w:r>
                      <w:r w:rsidR="00A71D38">
                        <w:rPr>
                          <w:rFonts w:ascii="Arial" w:hAnsi="Arial" w:cs="Arial"/>
                          <w:sz w:val="22"/>
                          <w:szCs w:val="22"/>
                          <w:lang w:val="en-GB"/>
                        </w:rPr>
                        <w:t>,</w:t>
                      </w:r>
                      <w:r w:rsidRPr="004C15DC">
                        <w:rPr>
                          <w:rFonts w:ascii="Arial" w:hAnsi="Arial" w:cs="Arial"/>
                          <w:sz w:val="22"/>
                          <w:szCs w:val="22"/>
                          <w:lang w:val="en-GB"/>
                        </w:rPr>
                        <w:t xml:space="preserve"> and between lawyers and their clients</w:t>
                      </w:r>
                      <w:r w:rsidR="00A71D38">
                        <w:rPr>
                          <w:rFonts w:ascii="Arial" w:hAnsi="Arial" w:cs="Arial"/>
                          <w:sz w:val="22"/>
                          <w:szCs w:val="22"/>
                          <w:lang w:val="en-GB"/>
                        </w:rPr>
                        <w:t>,</w:t>
                      </w:r>
                      <w:r w:rsidRPr="004C15DC">
                        <w:rPr>
                          <w:rFonts w:ascii="Arial" w:hAnsi="Arial" w:cs="Arial"/>
                          <w:sz w:val="22"/>
                          <w:szCs w:val="22"/>
                          <w:lang w:val="en-GB"/>
                        </w:rPr>
                        <w:t xml:space="preserve"> were monitored and recorded. Barriers between lawyers and clients prevented contact and the exchange of documents. Insistent statements of falsified evidence were disregarded without any research into the issue. According to our Bar Association, who attended the hearings as an observer, most </w:t>
                      </w:r>
                      <w:r w:rsidRPr="00E20C39">
                        <w:rPr>
                          <w:rFonts w:ascii="Arial" w:hAnsi="Arial" w:cs="Arial"/>
                          <w:sz w:val="22"/>
                          <w:szCs w:val="22"/>
                          <w:lang w:val="en-GB"/>
                        </w:rPr>
                        <w:t>of the prosecution</w:t>
                      </w:r>
                      <w:r w:rsidR="00D62C7D" w:rsidRPr="00E20C39">
                        <w:rPr>
                          <w:rFonts w:ascii="Arial" w:hAnsi="Arial" w:cs="Arial"/>
                          <w:sz w:val="22"/>
                          <w:szCs w:val="22"/>
                          <w:lang w:val="en-GB"/>
                        </w:rPr>
                        <w:t>’s</w:t>
                      </w:r>
                      <w:r w:rsidRPr="00E20C39">
                        <w:rPr>
                          <w:rFonts w:ascii="Arial" w:hAnsi="Arial" w:cs="Arial"/>
                          <w:sz w:val="22"/>
                          <w:szCs w:val="22"/>
                          <w:lang w:val="en-GB"/>
                        </w:rPr>
                        <w:t xml:space="preserve"> demands were accepted, while only </w:t>
                      </w:r>
                      <w:r w:rsidR="00D62C7D" w:rsidRPr="00E20C39">
                        <w:rPr>
                          <w:rFonts w:ascii="Arial" w:hAnsi="Arial" w:cs="Arial"/>
                          <w:sz w:val="22"/>
                          <w:szCs w:val="22"/>
                          <w:lang w:val="en-GB"/>
                        </w:rPr>
                        <w:t>a few</w:t>
                      </w:r>
                      <w:r w:rsidRPr="00E20C39">
                        <w:rPr>
                          <w:rFonts w:ascii="Arial" w:hAnsi="Arial" w:cs="Arial"/>
                          <w:sz w:val="22"/>
                          <w:szCs w:val="22"/>
                          <w:lang w:val="en-GB"/>
                        </w:rPr>
                        <w:t xml:space="preserve"> defence</w:t>
                      </w:r>
                      <w:r w:rsidRPr="004C15DC">
                        <w:rPr>
                          <w:rFonts w:ascii="Arial" w:hAnsi="Arial" w:cs="Arial"/>
                          <w:sz w:val="22"/>
                          <w:szCs w:val="22"/>
                          <w:lang w:val="en-GB"/>
                        </w:rPr>
                        <w:t xml:space="preserve"> counsel demands were accepted. </w:t>
                      </w:r>
                    </w:p>
                    <w:p w:rsidR="007F4821" w:rsidRPr="004C15DC" w:rsidRDefault="007F4821" w:rsidP="000E4ED0">
                      <w:pPr>
                        <w:spacing w:after="120"/>
                        <w:jc w:val="both"/>
                        <w:rPr>
                          <w:rFonts w:ascii="Arial" w:hAnsi="Arial" w:cs="Arial"/>
                          <w:i/>
                          <w:color w:val="002060"/>
                          <w:sz w:val="22"/>
                          <w:szCs w:val="22"/>
                          <w:lang w:val="en-GB"/>
                        </w:rPr>
                      </w:pPr>
                      <w:r w:rsidRPr="004C15DC">
                        <w:rPr>
                          <w:rFonts w:ascii="Arial" w:hAnsi="Arial" w:cs="Arial"/>
                          <w:b/>
                          <w:i/>
                          <w:color w:val="002060"/>
                          <w:sz w:val="22"/>
                          <w:szCs w:val="22"/>
                          <w:lang w:val="en-GB"/>
                        </w:rPr>
                        <w:t>How did you justify the decision not to appoint defence lawyers in this case?</w:t>
                      </w:r>
                    </w:p>
                    <w:p w:rsidR="000E4ED0" w:rsidRPr="004C15DC" w:rsidRDefault="007F4821" w:rsidP="000E4ED0">
                      <w:pPr>
                        <w:spacing w:after="120"/>
                        <w:jc w:val="both"/>
                        <w:rPr>
                          <w:rFonts w:ascii="Arial" w:hAnsi="Arial" w:cs="Arial"/>
                          <w:sz w:val="22"/>
                          <w:szCs w:val="22"/>
                          <w:lang w:val="en-GB"/>
                        </w:rPr>
                      </w:pPr>
                      <w:r w:rsidRPr="004C15DC">
                        <w:rPr>
                          <w:rFonts w:ascii="Arial" w:hAnsi="Arial" w:cs="Arial"/>
                          <w:sz w:val="22"/>
                          <w:szCs w:val="22"/>
                          <w:lang w:val="en-GB"/>
                        </w:rPr>
                        <w:tab/>
                        <w:t xml:space="preserve">Our decision not to appoint lawyers concerns the legal process. When our lawyers could no longer fulfil their duty due to the restrictions determined by the court, they left the courtroom in order to protect the honour of the profession. As proceedings require mandatory defence counsel, the Court </w:t>
                      </w:r>
                      <w:r w:rsidR="000E4ED0" w:rsidRPr="004C15DC">
                        <w:rPr>
                          <w:rFonts w:ascii="Arial" w:hAnsi="Arial" w:cs="Arial"/>
                          <w:sz w:val="22"/>
                          <w:szCs w:val="22"/>
                          <w:lang w:val="en-GB"/>
                        </w:rPr>
                        <w:t xml:space="preserve">asked the Bar Association to appoint lawyers. However, in order for the Bar Association to appoint lawyers within the mandatory defence counsel mechanism, </w:t>
                      </w:r>
                      <w:r w:rsidR="00D87A96" w:rsidRPr="00D87A96">
                        <w:rPr>
                          <w:rFonts w:ascii="Arial" w:hAnsi="Arial" w:cs="Arial"/>
                          <w:sz w:val="22"/>
                          <w:szCs w:val="22"/>
                          <w:lang w:val="en-GB"/>
                        </w:rPr>
                        <w:t>it is a must that the defendants shall not already have a defen</w:t>
                      </w:r>
                      <w:r w:rsidR="00D87A96">
                        <w:rPr>
                          <w:rFonts w:ascii="Arial" w:hAnsi="Arial" w:cs="Arial"/>
                          <w:sz w:val="22"/>
                          <w:szCs w:val="22"/>
                          <w:lang w:val="en-GB"/>
                        </w:rPr>
                        <w:t>c</w:t>
                      </w:r>
                      <w:r w:rsidR="00D87A96" w:rsidRPr="00D87A96">
                        <w:rPr>
                          <w:rFonts w:ascii="Arial" w:hAnsi="Arial" w:cs="Arial"/>
                          <w:sz w:val="22"/>
                          <w:szCs w:val="22"/>
                          <w:lang w:val="en-GB"/>
                        </w:rPr>
                        <w:t>e counsel selected by themselves</w:t>
                      </w:r>
                      <w:r w:rsidR="000E4ED0" w:rsidRPr="00D87A96">
                        <w:rPr>
                          <w:rFonts w:ascii="Arial" w:hAnsi="Arial" w:cs="Arial"/>
                          <w:sz w:val="22"/>
                          <w:szCs w:val="22"/>
                          <w:lang w:val="en-GB"/>
                        </w:rPr>
                        <w:t>.</w:t>
                      </w:r>
                      <w:r w:rsidR="000E4ED0" w:rsidRPr="004C15DC">
                        <w:rPr>
                          <w:rFonts w:ascii="Arial" w:hAnsi="Arial" w:cs="Arial"/>
                          <w:sz w:val="22"/>
                          <w:szCs w:val="22"/>
                          <w:lang w:val="en-GB"/>
                        </w:rPr>
                        <w:t xml:space="preserve"> The Bar Association, in a letter of reply to the Court, explained this legal situation. The Court insisted that lawyers were liable to attend the hearings and noted that criminal action would be taken against the President and Board Members of the Bar Association. The Ministry of Justice gave permission for an investigation and a criminal investigation was initiated. </w:t>
                      </w:r>
                    </w:p>
                    <w:p w:rsidR="00231962" w:rsidRPr="004C15DC" w:rsidRDefault="000E4ED0" w:rsidP="005C41C8">
                      <w:pPr>
                        <w:spacing w:after="120"/>
                        <w:ind w:firstLine="708"/>
                        <w:jc w:val="both"/>
                        <w:rPr>
                          <w:rFonts w:ascii="Arial" w:hAnsi="Arial" w:cs="Arial"/>
                          <w:sz w:val="22"/>
                          <w:szCs w:val="22"/>
                          <w:lang w:val="en-US"/>
                        </w:rPr>
                      </w:pPr>
                      <w:r w:rsidRPr="004C15DC">
                        <w:rPr>
                          <w:rFonts w:ascii="Arial" w:hAnsi="Arial" w:cs="Arial"/>
                          <w:sz w:val="22"/>
                          <w:szCs w:val="22"/>
                          <w:lang w:val="en-GB"/>
                        </w:rPr>
                        <w:t>Despite this, a Supreme Court precedent ruled that such a Bar Association appointment is not possible if there is no information or documents in the file concerning the discharge or resignation of the lawyer chosen by the defendant. In this incident, non-attendance of lawyers at the hearing was not arbitrary, but legitimate and honourable self-defence of the protection of the clients’ rights and the profession. The relevant Supreme Court decision was annexed to our letter of reply and the Court’s demand rejected, as there was no discharge or resignation. Furthermore, we highlighted ‘reciprocity in relations with the judiciary’ (Attorneys’ Code of Conduct, Article 15) in response to the Court indicating</w:t>
                      </w:r>
                    </w:p>
                  </w:txbxContent>
                </v:textbox>
              </v:shape>
            </w:pict>
          </mc:Fallback>
        </mc:AlternateContent>
      </w: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D693E" w:rsidRDefault="00FD693E">
      <w:pPr>
        <w:rPr>
          <w:rFonts w:ascii="Verdana" w:hAnsi="Verdana"/>
          <w:sz w:val="18"/>
          <w:szCs w:val="18"/>
          <w:lang w:val="en-US"/>
        </w:rPr>
      </w:pPr>
      <w:r>
        <w:rPr>
          <w:rFonts w:ascii="Verdana" w:hAnsi="Verdana"/>
          <w:sz w:val="18"/>
          <w:szCs w:val="18"/>
          <w:lang w:val="en-US"/>
        </w:rPr>
        <w:br w:type="page"/>
      </w:r>
    </w:p>
    <w:p w:rsidR="00FC72F2" w:rsidRPr="00693BF0" w:rsidRDefault="00E72821" w:rsidP="00FC72F2">
      <w:pPr>
        <w:rPr>
          <w:rFonts w:ascii="Verdana" w:hAnsi="Verdana"/>
          <w:sz w:val="18"/>
          <w:szCs w:val="18"/>
          <w:lang w:val="en-US"/>
        </w:rPr>
      </w:pPr>
      <w:r>
        <w:rPr>
          <w:rFonts w:ascii="Verdana" w:hAnsi="Verdana"/>
          <w:noProof/>
          <w:sz w:val="18"/>
          <w:szCs w:val="18"/>
          <w:lang w:val="cs-CZ" w:eastAsia="cs-CZ"/>
        </w:rPr>
        <w:lastRenderedPageBreak/>
        <mc:AlternateContent>
          <mc:Choice Requires="wps">
            <w:drawing>
              <wp:anchor distT="0" distB="0" distL="114300" distR="114300" simplePos="0" relativeHeight="251662336" behindDoc="0" locked="0" layoutInCell="1" allowOverlap="1" wp14:anchorId="5CE42296" wp14:editId="370FB29A">
                <wp:simplePos x="0" y="0"/>
                <wp:positionH relativeFrom="column">
                  <wp:posOffset>-340257</wp:posOffset>
                </wp:positionH>
                <wp:positionV relativeFrom="paragraph">
                  <wp:posOffset>109633</wp:posOffset>
                </wp:positionV>
                <wp:extent cx="6488430" cy="7595286"/>
                <wp:effectExtent l="0" t="0" r="7620" b="5715"/>
                <wp:wrapNone/>
                <wp:docPr id="4" name="Text Box 4"/>
                <wp:cNvGraphicFramePr/>
                <a:graphic xmlns:a="http://schemas.openxmlformats.org/drawingml/2006/main">
                  <a:graphicData uri="http://schemas.microsoft.com/office/word/2010/wordprocessingShape">
                    <wps:wsp>
                      <wps:cNvSpPr txBox="1"/>
                      <wps:spPr>
                        <a:xfrm>
                          <a:off x="0" y="0"/>
                          <a:ext cx="6488430" cy="75952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B6" w:rsidRPr="004C15DC" w:rsidRDefault="002925B6" w:rsidP="001A7453">
                            <w:pPr>
                              <w:spacing w:after="360"/>
                              <w:jc w:val="both"/>
                              <w:rPr>
                                <w:rFonts w:ascii="Arial" w:hAnsi="Arial" w:cs="Arial"/>
                                <w:sz w:val="22"/>
                                <w:szCs w:val="22"/>
                                <w:lang w:val="en-GB"/>
                              </w:rPr>
                            </w:pPr>
                            <w:r w:rsidRPr="004C15DC">
                              <w:rPr>
                                <w:rFonts w:ascii="Arial" w:hAnsi="Arial" w:cs="Arial"/>
                                <w:sz w:val="22"/>
                                <w:szCs w:val="22"/>
                                <w:lang w:val="en-GB"/>
                              </w:rPr>
                              <w:t xml:space="preserve">imminent criminal action. We noted that the court is not authorized to force the Bar Association to act contrary to legislation and laws. Such action constitutes a blackmail offense under Article 107 of Turkish Criminal Code. </w:t>
                            </w:r>
                          </w:p>
                          <w:p w:rsidR="002925B6" w:rsidRPr="004C15DC" w:rsidRDefault="002925B6" w:rsidP="001A7453">
                            <w:pPr>
                              <w:spacing w:after="120"/>
                              <w:jc w:val="both"/>
                              <w:rPr>
                                <w:rFonts w:ascii="Arial" w:hAnsi="Arial" w:cs="Arial"/>
                                <w:b/>
                                <w:i/>
                                <w:color w:val="002060"/>
                                <w:sz w:val="22"/>
                                <w:szCs w:val="22"/>
                                <w:lang w:val="en-GB"/>
                              </w:rPr>
                            </w:pPr>
                            <w:r w:rsidRPr="004C15DC">
                              <w:rPr>
                                <w:rFonts w:ascii="Arial" w:hAnsi="Arial" w:cs="Arial"/>
                                <w:b/>
                                <w:i/>
                                <w:color w:val="002060"/>
                                <w:sz w:val="22"/>
                                <w:szCs w:val="22"/>
                                <w:lang w:val="en-GB"/>
                              </w:rPr>
                              <w:t>What support have you received in Turkey? Is there an agenda behind the prosecution? What was the reaction (if any) to the Bar’s public statement on its fight against tyranny and for the independence of the judiciary?</w:t>
                            </w:r>
                          </w:p>
                          <w:p w:rsidR="002925B6" w:rsidRPr="004C15DC" w:rsidRDefault="002925B6" w:rsidP="001A7453">
                            <w:pPr>
                              <w:spacing w:after="120"/>
                              <w:jc w:val="both"/>
                              <w:rPr>
                                <w:rFonts w:ascii="Arial" w:hAnsi="Arial" w:cs="Arial"/>
                                <w:sz w:val="22"/>
                                <w:szCs w:val="22"/>
                                <w:lang w:val="en-GB"/>
                              </w:rPr>
                            </w:pPr>
                            <w:r w:rsidRPr="004C15DC">
                              <w:rPr>
                                <w:rFonts w:ascii="Arial" w:hAnsi="Arial" w:cs="Arial"/>
                                <w:b/>
                                <w:sz w:val="22"/>
                                <w:szCs w:val="22"/>
                                <w:lang w:val="en-GB"/>
                              </w:rPr>
                              <w:tab/>
                            </w:r>
                            <w:r w:rsidRPr="004C15DC">
                              <w:rPr>
                                <w:rFonts w:ascii="Arial" w:hAnsi="Arial" w:cs="Arial"/>
                                <w:sz w:val="22"/>
                                <w:szCs w:val="22"/>
                                <w:lang w:val="en-GB"/>
                              </w:rPr>
                              <w:t xml:space="preserve">We have received huge support from bar associations and lawyers in Turkey. We have received similar support from non-governmental organizations and the public. There was a high level of national and international participation in our extraordinary general assembly held as a response to the attempts to discharge our Board of Directors. During this assembly, we banded together despite ideological differences. </w:t>
                            </w:r>
                          </w:p>
                          <w:p w:rsidR="002925B6" w:rsidRPr="004C15DC" w:rsidRDefault="002925B6" w:rsidP="001A7453">
                            <w:pPr>
                              <w:spacing w:after="120"/>
                              <w:jc w:val="both"/>
                              <w:rPr>
                                <w:rFonts w:ascii="Arial" w:hAnsi="Arial" w:cs="Arial"/>
                                <w:sz w:val="22"/>
                                <w:szCs w:val="22"/>
                                <w:lang w:val="en-GB"/>
                              </w:rPr>
                            </w:pPr>
                            <w:r w:rsidRPr="004C15DC">
                              <w:rPr>
                                <w:rFonts w:ascii="Arial" w:hAnsi="Arial" w:cs="Arial"/>
                                <w:sz w:val="22"/>
                                <w:szCs w:val="22"/>
                                <w:lang w:val="en-GB"/>
                              </w:rPr>
                              <w:tab/>
                              <w:t xml:space="preserve">What lies beneath these incriminations and the proceedings and investigations initiated contrary to law and legislation is an intimidation towards bar associations and lawyers in general. The Istanbul Bar Association steadfastly resists this intimidation. After the takeover of the judiciary in Turkey, the only remaining powers that survive to defend the law are lawyers—and bar associations as the lawyers’ organized power. As such, the Istanbul Bar Association has been targeted by the political power. </w:t>
                            </w:r>
                            <w:r w:rsidRPr="003A2428">
                              <w:rPr>
                                <w:rFonts w:ascii="Arial" w:hAnsi="Arial" w:cs="Arial"/>
                                <w:sz w:val="22"/>
                                <w:szCs w:val="22"/>
                                <w:lang w:val="en-GB"/>
                              </w:rPr>
                              <w:t>The result of our public stance to not act in compliance with unlawful</w:t>
                            </w:r>
                            <w:r w:rsidRPr="004C15DC">
                              <w:rPr>
                                <w:rFonts w:ascii="Arial" w:hAnsi="Arial" w:cs="Arial"/>
                                <w:sz w:val="22"/>
                                <w:szCs w:val="22"/>
                                <w:lang w:val="en-GB"/>
                              </w:rPr>
                              <w:t xml:space="preserve"> proceedings, has been for the government to initiate a case against us and to demand imprisonment of up to 4 years.  </w:t>
                            </w:r>
                          </w:p>
                          <w:p w:rsidR="001A7453" w:rsidRDefault="001A7453" w:rsidP="001A7453">
                            <w:pPr>
                              <w:spacing w:after="360"/>
                              <w:ind w:firstLine="709"/>
                              <w:jc w:val="both"/>
                              <w:rPr>
                                <w:rFonts w:ascii="Arial" w:hAnsi="Arial" w:cs="Arial"/>
                                <w:sz w:val="22"/>
                                <w:szCs w:val="22"/>
                                <w:lang w:val="en-GB"/>
                              </w:rPr>
                            </w:pPr>
                            <w:r w:rsidRPr="004C15DC">
                              <w:rPr>
                                <w:rFonts w:ascii="Arial" w:hAnsi="Arial" w:cs="Arial"/>
                                <w:sz w:val="22"/>
                                <w:szCs w:val="22"/>
                                <w:lang w:val="en-GB"/>
                              </w:rPr>
                              <w:t>Unfortunately, certain officials within our Bar Association, known for their affinity with the government, demanded that the prosecutor’s office and the Ministry of Justice remove us from office. However, they must be aware that our presumption of innocence is valid. This was an attempted coup against the legitimately elected Board of Directors. It is worrying that the Ministry of Justice acted as a party to this issue.</w:t>
                            </w:r>
                          </w:p>
                          <w:p w:rsidR="001A7453" w:rsidRPr="004C15DC" w:rsidRDefault="001A7453" w:rsidP="001A7453">
                            <w:pPr>
                              <w:spacing w:after="120"/>
                              <w:jc w:val="both"/>
                              <w:rPr>
                                <w:rFonts w:ascii="Arial" w:hAnsi="Arial" w:cs="Arial"/>
                                <w:i/>
                                <w:color w:val="002060"/>
                                <w:sz w:val="22"/>
                                <w:szCs w:val="22"/>
                                <w:lang w:val="en-GB"/>
                              </w:rPr>
                            </w:pPr>
                            <w:r w:rsidRPr="004C15DC">
                              <w:rPr>
                                <w:rFonts w:ascii="Arial" w:hAnsi="Arial" w:cs="Arial"/>
                                <w:b/>
                                <w:i/>
                                <w:color w:val="002060"/>
                                <w:sz w:val="22"/>
                                <w:szCs w:val="22"/>
                                <w:lang w:val="en-GB"/>
                              </w:rPr>
                              <w:t>How do you see the case against you and the bar council from now on?</w:t>
                            </w:r>
                            <w:r w:rsidRPr="004C15DC">
                              <w:rPr>
                                <w:rFonts w:ascii="Arial" w:hAnsi="Arial" w:cs="Arial"/>
                                <w:i/>
                                <w:color w:val="002060"/>
                                <w:sz w:val="22"/>
                                <w:szCs w:val="22"/>
                                <w:lang w:val="en-GB"/>
                              </w:rPr>
                              <w:t xml:space="preserve"> </w:t>
                            </w:r>
                          </w:p>
                          <w:p w:rsidR="001A7453" w:rsidRDefault="001A7453" w:rsidP="00A71D38">
                            <w:pPr>
                              <w:spacing w:after="120"/>
                              <w:jc w:val="both"/>
                              <w:rPr>
                                <w:rFonts w:ascii="Arial" w:hAnsi="Arial" w:cs="Arial"/>
                                <w:sz w:val="22"/>
                                <w:szCs w:val="22"/>
                                <w:lang w:val="en-GB"/>
                              </w:rPr>
                            </w:pPr>
                            <w:r w:rsidRPr="004C15DC">
                              <w:rPr>
                                <w:rFonts w:ascii="Arial" w:hAnsi="Arial" w:cs="Arial"/>
                                <w:b/>
                                <w:sz w:val="22"/>
                                <w:szCs w:val="22"/>
                                <w:lang w:val="en-GB"/>
                              </w:rPr>
                              <w:tab/>
                            </w:r>
                            <w:r w:rsidRPr="004C15DC">
                              <w:rPr>
                                <w:rFonts w:ascii="Arial" w:hAnsi="Arial" w:cs="Arial"/>
                                <w:sz w:val="22"/>
                                <w:szCs w:val="22"/>
                                <w:lang w:val="en-GB"/>
                              </w:rPr>
                              <w:t xml:space="preserve">It requires political, not legal, foresight to see how this case will develop. The case and the investigations are not lawful, but political—and aimed at intimidation. The </w:t>
                            </w:r>
                            <w:r w:rsidRPr="00D62C7D">
                              <w:rPr>
                                <w:rFonts w:ascii="Arial" w:hAnsi="Arial" w:cs="Arial"/>
                                <w:sz w:val="22"/>
                                <w:szCs w:val="22"/>
                                <w:lang w:val="en-GB"/>
                              </w:rPr>
                              <w:t>determin</w:t>
                            </w:r>
                            <w:r w:rsidR="003A2428">
                              <w:rPr>
                                <w:rFonts w:ascii="Arial" w:hAnsi="Arial" w:cs="Arial"/>
                                <w:sz w:val="22"/>
                                <w:szCs w:val="22"/>
                                <w:lang w:val="en-GB"/>
                              </w:rPr>
                              <w:t>ant</w:t>
                            </w:r>
                            <w:r w:rsidRPr="004C15DC">
                              <w:rPr>
                                <w:rFonts w:ascii="Arial" w:hAnsi="Arial" w:cs="Arial"/>
                                <w:sz w:val="22"/>
                                <w:szCs w:val="22"/>
                                <w:lang w:val="en-GB"/>
                              </w:rPr>
                              <w:t xml:space="preserve"> here is not the law, but the political powers that currently have influence on the judiciary. These types of cases and investigations, imprisonment threats, and attempts of removal from office </w:t>
                            </w:r>
                            <w:r w:rsidRPr="00A71D38">
                              <w:rPr>
                                <w:rFonts w:ascii="Arial" w:hAnsi="Arial" w:cs="Arial"/>
                                <w:sz w:val="22"/>
                                <w:szCs w:val="22"/>
                                <w:lang w:val="en-GB"/>
                              </w:rPr>
                              <w:t>cannot hinder our duty and determination to defend the law, the rule of law, the independence of the judiciary, the honour of our profession, and the rights and freedoms of our citizens.</w:t>
                            </w:r>
                            <w:r w:rsidRPr="004C15DC">
                              <w:rPr>
                                <w:rFonts w:ascii="Arial" w:hAnsi="Arial" w:cs="Arial"/>
                                <w:sz w:val="22"/>
                                <w:szCs w:val="22"/>
                                <w:lang w:val="en-GB"/>
                              </w:rPr>
                              <w:t xml:space="preserve"> We are the warriors of justice. None of our problems are more valuable and important than our struggle for the rule of law, democracy, rights and freedoms. We are ready to pay any price in order to defend these values. </w:t>
                            </w:r>
                          </w:p>
                          <w:p w:rsidR="001A7453" w:rsidRPr="00202444" w:rsidRDefault="001A7453" w:rsidP="001A7453">
                            <w:pPr>
                              <w:spacing w:after="120"/>
                              <w:ind w:firstLine="708"/>
                              <w:jc w:val="both"/>
                              <w:rPr>
                                <w:rFonts w:ascii="Arial" w:hAnsi="Arial" w:cs="Arial"/>
                                <w:sz w:val="22"/>
                                <w:szCs w:val="22"/>
                                <w:lang w:val="en-GB"/>
                              </w:rPr>
                            </w:pPr>
                            <w:r w:rsidRPr="004C15DC">
                              <w:rPr>
                                <w:rFonts w:ascii="Arial" w:hAnsi="Arial" w:cs="Arial"/>
                                <w:sz w:val="22"/>
                                <w:szCs w:val="22"/>
                                <w:lang w:val="en-GB"/>
                              </w:rPr>
                              <w:t xml:space="preserve">Our attitude and determination, and support from the Turkish people, from Europe and the world, are important. The support of lawyers and bar associations as well as the support of </w:t>
                            </w:r>
                            <w:r w:rsidR="003A2428">
                              <w:rPr>
                                <w:rFonts w:ascii="Arial" w:hAnsi="Arial" w:cs="Arial"/>
                                <w:sz w:val="22"/>
                                <w:szCs w:val="22"/>
                                <w:lang w:val="en-GB"/>
                              </w:rPr>
                              <w:t xml:space="preserve">the </w:t>
                            </w:r>
                            <w:r w:rsidRPr="00D62C7D">
                              <w:rPr>
                                <w:rFonts w:ascii="Arial" w:hAnsi="Arial" w:cs="Arial"/>
                                <w:sz w:val="22"/>
                                <w:szCs w:val="22"/>
                                <w:lang w:val="en-GB"/>
                              </w:rPr>
                              <w:t>CCBE</w:t>
                            </w:r>
                            <w:r w:rsidRPr="004C15DC">
                              <w:rPr>
                                <w:rFonts w:ascii="Arial" w:hAnsi="Arial" w:cs="Arial"/>
                                <w:sz w:val="22"/>
                                <w:szCs w:val="22"/>
                                <w:lang w:val="en-GB"/>
                              </w:rPr>
                              <w:t xml:space="preserve"> is extremely important and invaluable for us. Having lawyers with us during our second hearing on January 7, 2014 would add to our strength. These unlawful attacks should be covered by progress reports of the European Union and European Parliament Resolutions, </w:t>
                            </w:r>
                            <w:r w:rsidR="003A2428">
                              <w:rPr>
                                <w:rFonts w:ascii="Arial" w:hAnsi="Arial" w:cs="Arial"/>
                                <w:sz w:val="22"/>
                                <w:szCs w:val="22"/>
                                <w:lang w:val="en-GB"/>
                              </w:rPr>
                              <w:t xml:space="preserve">in </w:t>
                            </w:r>
                            <w:r w:rsidRPr="004C15DC">
                              <w:rPr>
                                <w:rFonts w:ascii="Arial" w:hAnsi="Arial" w:cs="Arial"/>
                                <w:sz w:val="22"/>
                                <w:szCs w:val="22"/>
                                <w:lang w:val="en-GB"/>
                              </w:rPr>
                              <w:t>which the CCBE could play an important role</w:t>
                            </w:r>
                            <w:r w:rsidR="00202444">
                              <w:rPr>
                                <w:rFonts w:ascii="Arial" w:hAnsi="Arial" w:cs="Arial"/>
                                <w:sz w:val="22"/>
                                <w:szCs w:val="22"/>
                                <w:lang w:val="en-GB"/>
                              </w:rPr>
                              <w:t>.</w:t>
                            </w:r>
                          </w:p>
                          <w:p w:rsidR="001A7453" w:rsidRPr="004C15DC" w:rsidRDefault="001A7453" w:rsidP="001A7453">
                            <w:pPr>
                              <w:spacing w:after="120"/>
                              <w:ind w:firstLine="708"/>
                              <w:jc w:val="both"/>
                              <w:rPr>
                                <w:rFonts w:ascii="Arial" w:hAnsi="Arial" w:cs="Arial"/>
                                <w:sz w:val="22"/>
                                <w:szCs w:val="22"/>
                                <w:lang w:val="en-US"/>
                              </w:rPr>
                            </w:pPr>
                            <w:r w:rsidRPr="004C15DC">
                              <w:rPr>
                                <w:rFonts w:ascii="Arial" w:hAnsi="Arial" w:cs="Arial"/>
                                <w:sz w:val="22"/>
                                <w:szCs w:val="22"/>
                                <w:lang w:val="en-GB"/>
                              </w:rPr>
                              <w:t xml:space="preserve">As one of our poets said, “At </w:t>
                            </w:r>
                            <w:r w:rsidR="003A2428">
                              <w:rPr>
                                <w:rFonts w:ascii="Arial" w:hAnsi="Arial" w:cs="Arial"/>
                                <w:sz w:val="22"/>
                                <w:szCs w:val="22"/>
                                <w:lang w:val="en-GB"/>
                              </w:rPr>
                              <w:t xml:space="preserve">the </w:t>
                            </w:r>
                            <w:r w:rsidRPr="004C15DC">
                              <w:rPr>
                                <w:rFonts w:ascii="Arial" w:hAnsi="Arial" w:cs="Arial"/>
                                <w:sz w:val="22"/>
                                <w:szCs w:val="22"/>
                                <w:lang w:val="en-GB"/>
                              </w:rPr>
                              <w:t>very last point in history, resisters say the last word”. The last word has not yet been uttered.</w:t>
                            </w:r>
                          </w:p>
                          <w:p w:rsidR="001A7453" w:rsidRPr="004C15DC" w:rsidRDefault="001A7453" w:rsidP="001A7453">
                            <w:pPr>
                              <w:spacing w:after="120"/>
                              <w:jc w:val="both"/>
                              <w:rPr>
                                <w:rFonts w:ascii="Arial" w:hAnsi="Arial" w:cs="Arial"/>
                                <w:sz w:val="22"/>
                                <w:szCs w:val="22"/>
                                <w:lang w:val="en-GB"/>
                              </w:rPr>
                            </w:pPr>
                          </w:p>
                          <w:p w:rsidR="001A7453" w:rsidRPr="004C15DC" w:rsidRDefault="001A7453" w:rsidP="001A7453">
                            <w:pPr>
                              <w:spacing w:after="120"/>
                              <w:ind w:firstLine="708"/>
                              <w:jc w:val="both"/>
                              <w:rPr>
                                <w:rFonts w:ascii="Arial" w:hAnsi="Arial" w:cs="Arial"/>
                                <w:sz w:val="22"/>
                                <w:szCs w:val="22"/>
                                <w:lang w:val="en-GB"/>
                              </w:rPr>
                            </w:pPr>
                          </w:p>
                          <w:p w:rsidR="005D01CF" w:rsidRPr="001A7453" w:rsidRDefault="005D01CF" w:rsidP="001A7453">
                            <w:pPr>
                              <w:spacing w:after="120"/>
                              <w:jc w:val="both"/>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8pt;margin-top:8.65pt;width:510.9pt;height:59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" fillcolor="white [3201]" stroked="f" strokeweight=".5pt">
                <v:textbox>
                  <w:txbxContent>
                    <w:p w:rsidR="002925B6" w:rsidRPr="004C15DC" w:rsidRDefault="002925B6" w:rsidP="001A7453">
                      <w:pPr>
                        <w:spacing w:after="360"/>
                        <w:jc w:val="both"/>
                        <w:rPr>
                          <w:rFonts w:ascii="Arial" w:hAnsi="Arial" w:cs="Arial"/>
                          <w:sz w:val="22"/>
                          <w:szCs w:val="22"/>
                          <w:lang w:val="en-GB"/>
                        </w:rPr>
                      </w:pPr>
                      <w:r w:rsidRPr="004C15DC">
                        <w:rPr>
                          <w:rFonts w:ascii="Arial" w:hAnsi="Arial" w:cs="Arial"/>
                          <w:sz w:val="22"/>
                          <w:szCs w:val="22"/>
                          <w:lang w:val="en-GB"/>
                        </w:rPr>
                        <w:t xml:space="preserve">imminent criminal action. We noted that the court is not authorized to force the Bar Association to act contrary to legislation and laws. Such action constitutes a blackmail offense under Article 107 of Turkish Criminal Code. </w:t>
                      </w:r>
                    </w:p>
                    <w:p w:rsidR="002925B6" w:rsidRPr="004C15DC" w:rsidRDefault="002925B6" w:rsidP="001A7453">
                      <w:pPr>
                        <w:spacing w:after="120"/>
                        <w:jc w:val="both"/>
                        <w:rPr>
                          <w:rFonts w:ascii="Arial" w:hAnsi="Arial" w:cs="Arial"/>
                          <w:b/>
                          <w:i/>
                          <w:color w:val="002060"/>
                          <w:sz w:val="22"/>
                          <w:szCs w:val="22"/>
                          <w:lang w:val="en-GB"/>
                        </w:rPr>
                      </w:pPr>
                      <w:r w:rsidRPr="004C15DC">
                        <w:rPr>
                          <w:rFonts w:ascii="Arial" w:hAnsi="Arial" w:cs="Arial"/>
                          <w:b/>
                          <w:i/>
                          <w:color w:val="002060"/>
                          <w:sz w:val="22"/>
                          <w:szCs w:val="22"/>
                          <w:lang w:val="en-GB"/>
                        </w:rPr>
                        <w:t>What support have you received in Turkey? Is there an agenda behind the prosecution? What was the reaction (if any) to the Bar’s public statement on its fight against tyranny and for the independence of the judiciary?</w:t>
                      </w:r>
                    </w:p>
                    <w:p w:rsidR="002925B6" w:rsidRPr="004C15DC" w:rsidRDefault="002925B6" w:rsidP="001A7453">
                      <w:pPr>
                        <w:spacing w:after="120"/>
                        <w:jc w:val="both"/>
                        <w:rPr>
                          <w:rFonts w:ascii="Arial" w:hAnsi="Arial" w:cs="Arial"/>
                          <w:sz w:val="22"/>
                          <w:szCs w:val="22"/>
                          <w:lang w:val="en-GB"/>
                        </w:rPr>
                      </w:pPr>
                      <w:r w:rsidRPr="004C15DC">
                        <w:rPr>
                          <w:rFonts w:ascii="Arial" w:hAnsi="Arial" w:cs="Arial"/>
                          <w:b/>
                          <w:sz w:val="22"/>
                          <w:szCs w:val="22"/>
                          <w:lang w:val="en-GB"/>
                        </w:rPr>
                        <w:tab/>
                      </w:r>
                      <w:r w:rsidRPr="004C15DC">
                        <w:rPr>
                          <w:rFonts w:ascii="Arial" w:hAnsi="Arial" w:cs="Arial"/>
                          <w:sz w:val="22"/>
                          <w:szCs w:val="22"/>
                          <w:lang w:val="en-GB"/>
                        </w:rPr>
                        <w:t xml:space="preserve">We have received huge support from bar associations and lawyers in Turkey. We have received similar support from non-governmental organizations and the public. There was a high level of national and international participation in our extraordinary general assembly held as a response to the attempts to discharge our Board of Directors. During this assembly, we banded together despite ideological differences. </w:t>
                      </w:r>
                    </w:p>
                    <w:p w:rsidR="002925B6" w:rsidRPr="004C15DC" w:rsidRDefault="002925B6" w:rsidP="001A7453">
                      <w:pPr>
                        <w:spacing w:after="120"/>
                        <w:jc w:val="both"/>
                        <w:rPr>
                          <w:rFonts w:ascii="Arial" w:hAnsi="Arial" w:cs="Arial"/>
                          <w:sz w:val="22"/>
                          <w:szCs w:val="22"/>
                          <w:lang w:val="en-GB"/>
                        </w:rPr>
                      </w:pPr>
                      <w:r w:rsidRPr="004C15DC">
                        <w:rPr>
                          <w:rFonts w:ascii="Arial" w:hAnsi="Arial" w:cs="Arial"/>
                          <w:sz w:val="22"/>
                          <w:szCs w:val="22"/>
                          <w:lang w:val="en-GB"/>
                        </w:rPr>
                        <w:tab/>
                        <w:t xml:space="preserve">What lies beneath these incriminations and the proceedings and investigations initiated contrary to law and legislation is an intimidation towards bar associations and lawyers in general. The Istanbul Bar Association steadfastly resists this intimidation. After the takeover of the judiciary in Turkey, the only remaining powers that survive to defend the law are lawyers—and bar associations as the lawyers’ organized power. As such, the Istanbul Bar Association has been targeted by the political power. </w:t>
                      </w:r>
                      <w:r w:rsidRPr="003A2428">
                        <w:rPr>
                          <w:rFonts w:ascii="Arial" w:hAnsi="Arial" w:cs="Arial"/>
                          <w:sz w:val="22"/>
                          <w:szCs w:val="22"/>
                          <w:lang w:val="en-GB"/>
                        </w:rPr>
                        <w:t>The result of our public stance to not act in compliance with unlawful</w:t>
                      </w:r>
                      <w:r w:rsidRPr="004C15DC">
                        <w:rPr>
                          <w:rFonts w:ascii="Arial" w:hAnsi="Arial" w:cs="Arial"/>
                          <w:sz w:val="22"/>
                          <w:szCs w:val="22"/>
                          <w:lang w:val="en-GB"/>
                        </w:rPr>
                        <w:t xml:space="preserve"> proceedings, has been for the government to initiate a case against us and to demand imprisonment of up to 4 years.  </w:t>
                      </w:r>
                    </w:p>
                    <w:p w:rsidR="001A7453" w:rsidRDefault="001A7453" w:rsidP="001A7453">
                      <w:pPr>
                        <w:spacing w:after="360"/>
                        <w:ind w:firstLine="709"/>
                        <w:jc w:val="both"/>
                        <w:rPr>
                          <w:rFonts w:ascii="Arial" w:hAnsi="Arial" w:cs="Arial"/>
                          <w:sz w:val="22"/>
                          <w:szCs w:val="22"/>
                          <w:lang w:val="en-GB"/>
                        </w:rPr>
                      </w:pPr>
                      <w:r w:rsidRPr="004C15DC">
                        <w:rPr>
                          <w:rFonts w:ascii="Arial" w:hAnsi="Arial" w:cs="Arial"/>
                          <w:sz w:val="22"/>
                          <w:szCs w:val="22"/>
                          <w:lang w:val="en-GB"/>
                        </w:rPr>
                        <w:t>Unfortunately, certain officials within our Bar Association, known for their affinity with the government, demanded that the prosecutor’s office and the Ministry of Justice remove us from office. However, they must be aware that our presumption of innocence is valid. This was an attempted coup against the legitimately elected Board of Directors. It is worrying that the Ministry of Justice acted as a party to this issue.</w:t>
                      </w:r>
                    </w:p>
                    <w:p w:rsidR="001A7453" w:rsidRPr="004C15DC" w:rsidRDefault="001A7453" w:rsidP="001A7453">
                      <w:pPr>
                        <w:spacing w:after="120"/>
                        <w:jc w:val="both"/>
                        <w:rPr>
                          <w:rFonts w:ascii="Arial" w:hAnsi="Arial" w:cs="Arial"/>
                          <w:i/>
                          <w:color w:val="002060"/>
                          <w:sz w:val="22"/>
                          <w:szCs w:val="22"/>
                          <w:lang w:val="en-GB"/>
                        </w:rPr>
                      </w:pPr>
                      <w:r w:rsidRPr="004C15DC">
                        <w:rPr>
                          <w:rFonts w:ascii="Arial" w:hAnsi="Arial" w:cs="Arial"/>
                          <w:b/>
                          <w:i/>
                          <w:color w:val="002060"/>
                          <w:sz w:val="22"/>
                          <w:szCs w:val="22"/>
                          <w:lang w:val="en-GB"/>
                        </w:rPr>
                        <w:t>How do you see the case against you and the bar council from now on?</w:t>
                      </w:r>
                      <w:r w:rsidRPr="004C15DC">
                        <w:rPr>
                          <w:rFonts w:ascii="Arial" w:hAnsi="Arial" w:cs="Arial"/>
                          <w:i/>
                          <w:color w:val="002060"/>
                          <w:sz w:val="22"/>
                          <w:szCs w:val="22"/>
                          <w:lang w:val="en-GB"/>
                        </w:rPr>
                        <w:t xml:space="preserve"> </w:t>
                      </w:r>
                    </w:p>
                    <w:p w:rsidR="001A7453" w:rsidRDefault="001A7453" w:rsidP="00A71D38">
                      <w:pPr>
                        <w:spacing w:after="120"/>
                        <w:jc w:val="both"/>
                        <w:rPr>
                          <w:rFonts w:ascii="Arial" w:hAnsi="Arial" w:cs="Arial"/>
                          <w:sz w:val="22"/>
                          <w:szCs w:val="22"/>
                          <w:lang w:val="en-GB"/>
                        </w:rPr>
                      </w:pPr>
                      <w:r w:rsidRPr="004C15DC">
                        <w:rPr>
                          <w:rFonts w:ascii="Arial" w:hAnsi="Arial" w:cs="Arial"/>
                          <w:b/>
                          <w:sz w:val="22"/>
                          <w:szCs w:val="22"/>
                          <w:lang w:val="en-GB"/>
                        </w:rPr>
                        <w:tab/>
                      </w:r>
                      <w:r w:rsidRPr="004C15DC">
                        <w:rPr>
                          <w:rFonts w:ascii="Arial" w:hAnsi="Arial" w:cs="Arial"/>
                          <w:sz w:val="22"/>
                          <w:szCs w:val="22"/>
                          <w:lang w:val="en-GB"/>
                        </w:rPr>
                        <w:t xml:space="preserve">It requires political, not legal, foresight to see how this case will develop. The case and the investigations are not lawful, but political—and aimed at intimidation. The </w:t>
                      </w:r>
                      <w:r w:rsidRPr="00D62C7D">
                        <w:rPr>
                          <w:rFonts w:ascii="Arial" w:hAnsi="Arial" w:cs="Arial"/>
                          <w:sz w:val="22"/>
                          <w:szCs w:val="22"/>
                          <w:lang w:val="en-GB"/>
                        </w:rPr>
                        <w:t>determin</w:t>
                      </w:r>
                      <w:r w:rsidR="003A2428">
                        <w:rPr>
                          <w:rFonts w:ascii="Arial" w:hAnsi="Arial" w:cs="Arial"/>
                          <w:sz w:val="22"/>
                          <w:szCs w:val="22"/>
                          <w:lang w:val="en-GB"/>
                        </w:rPr>
                        <w:t>ant</w:t>
                      </w:r>
                      <w:r w:rsidRPr="004C15DC">
                        <w:rPr>
                          <w:rFonts w:ascii="Arial" w:hAnsi="Arial" w:cs="Arial"/>
                          <w:sz w:val="22"/>
                          <w:szCs w:val="22"/>
                          <w:lang w:val="en-GB"/>
                        </w:rPr>
                        <w:t xml:space="preserve"> here is not the law, but the political powers that currently have influence on the judiciary. These types of cases and investigations, imprisonment threats, and attempts of removal from office </w:t>
                      </w:r>
                      <w:r w:rsidRPr="00A71D38">
                        <w:rPr>
                          <w:rFonts w:ascii="Arial" w:hAnsi="Arial" w:cs="Arial"/>
                          <w:sz w:val="22"/>
                          <w:szCs w:val="22"/>
                          <w:lang w:val="en-GB"/>
                        </w:rPr>
                        <w:t>cannot hinder our duty and determination to defend the law, the rule of law, the independence of the judiciary, the honour of our profession, and the rights and freedoms of our citizens.</w:t>
                      </w:r>
                      <w:r w:rsidRPr="004C15DC">
                        <w:rPr>
                          <w:rFonts w:ascii="Arial" w:hAnsi="Arial" w:cs="Arial"/>
                          <w:sz w:val="22"/>
                          <w:szCs w:val="22"/>
                          <w:lang w:val="en-GB"/>
                        </w:rPr>
                        <w:t xml:space="preserve"> We are the warriors of justice. None of our problems are more valuable and important than our struggle for the rule of law, democracy, rights and freedoms. We are ready to pay any price in order to defend these values. </w:t>
                      </w:r>
                    </w:p>
                    <w:p w:rsidR="001A7453" w:rsidRPr="00202444" w:rsidRDefault="001A7453" w:rsidP="001A7453">
                      <w:pPr>
                        <w:spacing w:after="120"/>
                        <w:ind w:firstLine="708"/>
                        <w:jc w:val="both"/>
                        <w:rPr>
                          <w:rFonts w:ascii="Arial" w:hAnsi="Arial" w:cs="Arial"/>
                          <w:sz w:val="22"/>
                          <w:szCs w:val="22"/>
                          <w:lang w:val="en-GB"/>
                        </w:rPr>
                      </w:pPr>
                      <w:r w:rsidRPr="004C15DC">
                        <w:rPr>
                          <w:rFonts w:ascii="Arial" w:hAnsi="Arial" w:cs="Arial"/>
                          <w:sz w:val="22"/>
                          <w:szCs w:val="22"/>
                          <w:lang w:val="en-GB"/>
                        </w:rPr>
                        <w:t xml:space="preserve">Our attitude and determination, and support from the Turkish people, from Europe and the world, are important. The support of lawyers and bar associations as well as the support of </w:t>
                      </w:r>
                      <w:r w:rsidR="003A2428">
                        <w:rPr>
                          <w:rFonts w:ascii="Arial" w:hAnsi="Arial" w:cs="Arial"/>
                          <w:sz w:val="22"/>
                          <w:szCs w:val="22"/>
                          <w:lang w:val="en-GB"/>
                        </w:rPr>
                        <w:t xml:space="preserve">the </w:t>
                      </w:r>
                      <w:r w:rsidRPr="00D62C7D">
                        <w:rPr>
                          <w:rFonts w:ascii="Arial" w:hAnsi="Arial" w:cs="Arial"/>
                          <w:sz w:val="22"/>
                          <w:szCs w:val="22"/>
                          <w:lang w:val="en-GB"/>
                        </w:rPr>
                        <w:t>CCBE</w:t>
                      </w:r>
                      <w:r w:rsidRPr="004C15DC">
                        <w:rPr>
                          <w:rFonts w:ascii="Arial" w:hAnsi="Arial" w:cs="Arial"/>
                          <w:sz w:val="22"/>
                          <w:szCs w:val="22"/>
                          <w:lang w:val="en-GB"/>
                        </w:rPr>
                        <w:t xml:space="preserve"> is extremely important and invaluable for us. Having lawyers with us during our second hearing on January 7, 2014 would add to our strength. These unlawful attacks should be covered by progress reports of the European Union and European Parliament Resolutions, </w:t>
                      </w:r>
                      <w:r w:rsidR="003A2428">
                        <w:rPr>
                          <w:rFonts w:ascii="Arial" w:hAnsi="Arial" w:cs="Arial"/>
                          <w:sz w:val="22"/>
                          <w:szCs w:val="22"/>
                          <w:lang w:val="en-GB"/>
                        </w:rPr>
                        <w:t xml:space="preserve">in </w:t>
                      </w:r>
                      <w:r w:rsidRPr="004C15DC">
                        <w:rPr>
                          <w:rFonts w:ascii="Arial" w:hAnsi="Arial" w:cs="Arial"/>
                          <w:sz w:val="22"/>
                          <w:szCs w:val="22"/>
                          <w:lang w:val="en-GB"/>
                        </w:rPr>
                        <w:t>which the CCBE could play an important role</w:t>
                      </w:r>
                      <w:r w:rsidR="00202444">
                        <w:rPr>
                          <w:rFonts w:ascii="Arial" w:hAnsi="Arial" w:cs="Arial"/>
                          <w:sz w:val="22"/>
                          <w:szCs w:val="22"/>
                          <w:lang w:val="en-GB"/>
                        </w:rPr>
                        <w:t>.</w:t>
                      </w:r>
                    </w:p>
                    <w:p w:rsidR="001A7453" w:rsidRPr="004C15DC" w:rsidRDefault="001A7453" w:rsidP="001A7453">
                      <w:pPr>
                        <w:spacing w:after="120"/>
                        <w:ind w:firstLine="708"/>
                        <w:jc w:val="both"/>
                        <w:rPr>
                          <w:rFonts w:ascii="Arial" w:hAnsi="Arial" w:cs="Arial"/>
                          <w:sz w:val="22"/>
                          <w:szCs w:val="22"/>
                          <w:lang w:val="en-US"/>
                        </w:rPr>
                      </w:pPr>
                      <w:r w:rsidRPr="004C15DC">
                        <w:rPr>
                          <w:rFonts w:ascii="Arial" w:hAnsi="Arial" w:cs="Arial"/>
                          <w:sz w:val="22"/>
                          <w:szCs w:val="22"/>
                          <w:lang w:val="en-GB"/>
                        </w:rPr>
                        <w:t xml:space="preserve">As one of our poets said, “At </w:t>
                      </w:r>
                      <w:r w:rsidR="003A2428">
                        <w:rPr>
                          <w:rFonts w:ascii="Arial" w:hAnsi="Arial" w:cs="Arial"/>
                          <w:sz w:val="22"/>
                          <w:szCs w:val="22"/>
                          <w:lang w:val="en-GB"/>
                        </w:rPr>
                        <w:t xml:space="preserve">the </w:t>
                      </w:r>
                      <w:r w:rsidRPr="004C15DC">
                        <w:rPr>
                          <w:rFonts w:ascii="Arial" w:hAnsi="Arial" w:cs="Arial"/>
                          <w:sz w:val="22"/>
                          <w:szCs w:val="22"/>
                          <w:lang w:val="en-GB"/>
                        </w:rPr>
                        <w:t>very last point in history, resisters say the last word”. The last word has not yet been uttered.</w:t>
                      </w:r>
                    </w:p>
                    <w:p w:rsidR="001A7453" w:rsidRPr="004C15DC" w:rsidRDefault="001A7453" w:rsidP="001A7453">
                      <w:pPr>
                        <w:spacing w:after="120"/>
                        <w:jc w:val="both"/>
                        <w:rPr>
                          <w:rFonts w:ascii="Arial" w:hAnsi="Arial" w:cs="Arial"/>
                          <w:sz w:val="22"/>
                          <w:szCs w:val="22"/>
                          <w:lang w:val="en-GB"/>
                        </w:rPr>
                      </w:pPr>
                    </w:p>
                    <w:p w:rsidR="001A7453" w:rsidRPr="004C15DC" w:rsidRDefault="001A7453" w:rsidP="001A7453">
                      <w:pPr>
                        <w:spacing w:after="120"/>
                        <w:ind w:firstLine="708"/>
                        <w:jc w:val="both"/>
                        <w:rPr>
                          <w:rFonts w:ascii="Arial" w:hAnsi="Arial" w:cs="Arial"/>
                          <w:sz w:val="22"/>
                          <w:szCs w:val="22"/>
                          <w:lang w:val="en-GB"/>
                        </w:rPr>
                      </w:pPr>
                    </w:p>
                    <w:p w:rsidR="005D01CF" w:rsidRPr="001A7453" w:rsidRDefault="005D01CF" w:rsidP="001A7453">
                      <w:pPr>
                        <w:spacing w:after="120"/>
                        <w:jc w:val="both"/>
                        <w:rPr>
                          <w:rFonts w:ascii="Arial" w:hAnsi="Arial" w:cs="Arial"/>
                          <w:sz w:val="22"/>
                          <w:szCs w:val="22"/>
                          <w:lang w:val="en-GB"/>
                        </w:rPr>
                      </w:pPr>
                    </w:p>
                  </w:txbxContent>
                </v:textbox>
              </v:shape>
            </w:pict>
          </mc:Fallback>
        </mc:AlternateContent>
      </w: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FC72F2" w:rsidRPr="00693BF0" w:rsidRDefault="00FC72F2" w:rsidP="00FC72F2">
      <w:pPr>
        <w:rPr>
          <w:rFonts w:ascii="Verdana" w:hAnsi="Verdana"/>
          <w:sz w:val="18"/>
          <w:szCs w:val="18"/>
          <w:lang w:val="en-US"/>
        </w:rPr>
      </w:pPr>
    </w:p>
    <w:p w:rsidR="00671ED8" w:rsidRPr="00693BF0" w:rsidRDefault="00671ED8" w:rsidP="00FC72F2">
      <w:pPr>
        <w:rPr>
          <w:rFonts w:ascii="Verdana" w:hAnsi="Verdana"/>
          <w:sz w:val="18"/>
          <w:szCs w:val="18"/>
          <w:lang w:val="en-US"/>
        </w:rPr>
      </w:pPr>
    </w:p>
    <w:p w:rsidR="00671ED8" w:rsidRPr="00693BF0" w:rsidRDefault="00671ED8" w:rsidP="00FC72F2">
      <w:pPr>
        <w:rPr>
          <w:rFonts w:ascii="Verdana" w:hAnsi="Verdana"/>
          <w:sz w:val="18"/>
          <w:szCs w:val="18"/>
          <w:lang w:val="en-US"/>
        </w:rPr>
      </w:pPr>
    </w:p>
    <w:p w:rsidR="00671ED8" w:rsidRPr="00693BF0" w:rsidRDefault="00671ED8" w:rsidP="00FC72F2">
      <w:pPr>
        <w:rPr>
          <w:rFonts w:ascii="Verdana" w:hAnsi="Verdana"/>
          <w:sz w:val="18"/>
          <w:szCs w:val="18"/>
          <w:lang w:val="en-US"/>
        </w:rPr>
      </w:pPr>
    </w:p>
    <w:p w:rsidR="00671ED8" w:rsidRPr="00693BF0" w:rsidRDefault="00671ED8" w:rsidP="00FC72F2">
      <w:pPr>
        <w:rPr>
          <w:rFonts w:ascii="Verdana" w:hAnsi="Verdana"/>
          <w:sz w:val="18"/>
          <w:szCs w:val="18"/>
          <w:lang w:val="en-US"/>
        </w:rPr>
      </w:pPr>
    </w:p>
    <w:p w:rsidR="00671ED8" w:rsidRPr="00693BF0" w:rsidRDefault="00671ED8" w:rsidP="00FC72F2">
      <w:pPr>
        <w:rPr>
          <w:rFonts w:ascii="Verdana" w:hAnsi="Verdana"/>
          <w:sz w:val="18"/>
          <w:szCs w:val="18"/>
          <w:lang w:val="en-US"/>
        </w:rPr>
      </w:pPr>
    </w:p>
    <w:p w:rsidR="00FC72F2" w:rsidRDefault="00FC72F2" w:rsidP="00FC72F2">
      <w:pPr>
        <w:rPr>
          <w:rFonts w:ascii="Verdana" w:hAnsi="Verdana"/>
          <w:sz w:val="18"/>
          <w:szCs w:val="18"/>
          <w:lang w:val="en-US"/>
        </w:rPr>
      </w:pPr>
    </w:p>
    <w:p w:rsidR="002925B6" w:rsidRPr="00693BF0" w:rsidRDefault="002925B6" w:rsidP="00FC72F2">
      <w:pPr>
        <w:rPr>
          <w:rFonts w:ascii="Verdana" w:hAnsi="Verdana"/>
          <w:sz w:val="18"/>
          <w:szCs w:val="18"/>
          <w:lang w:val="en-US"/>
        </w:rPr>
      </w:pPr>
    </w:p>
    <w:sectPr w:rsidR="002925B6" w:rsidRPr="00693BF0" w:rsidSect="004C15DC">
      <w:headerReference w:type="default" r:id="rId9"/>
      <w:footerReference w:type="default" r:id="rId10"/>
      <w:headerReference w:type="first" r:id="rId11"/>
      <w:footerReference w:type="first" r:id="rId12"/>
      <w:pgSz w:w="11906" w:h="16838" w:code="9"/>
      <w:pgMar w:top="1418" w:right="1418" w:bottom="1134" w:left="1418" w:header="397" w:footer="254"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F0" w:rsidRDefault="000A29F0">
      <w:r>
        <w:separator/>
      </w:r>
    </w:p>
  </w:endnote>
  <w:endnote w:type="continuationSeparator" w:id="0">
    <w:p w:rsidR="000A29F0" w:rsidRDefault="000A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3102"/>
      <w:docPartObj>
        <w:docPartGallery w:val="Page Numbers (Bottom of Page)"/>
        <w:docPartUnique/>
      </w:docPartObj>
    </w:sdtPr>
    <w:sdtEndPr>
      <w:rPr>
        <w:color w:val="808080" w:themeColor="background1" w:themeShade="80"/>
        <w:spacing w:val="60"/>
      </w:rPr>
    </w:sdtEndPr>
    <w:sdtContent>
      <w:p w:rsidR="00E72821" w:rsidRDefault="00E72821" w:rsidP="00E72821">
        <w:pPr>
          <w:pStyle w:val="Zpat"/>
          <w:pBdr>
            <w:top w:val="single" w:sz="4" w:space="19" w:color="D9D9D9" w:themeColor="background1" w:themeShade="D9"/>
          </w:pBdr>
          <w:jc w:val="right"/>
          <w:rPr>
            <w:color w:val="808080" w:themeColor="background1" w:themeShade="80"/>
            <w:spacing w:val="60"/>
          </w:rPr>
        </w:pPr>
        <w:r w:rsidRPr="00C67D4A">
          <w:rPr>
            <w:rFonts w:ascii="Verdana" w:hAnsi="Verdana"/>
            <w:noProof/>
            <w:color w:val="808080" w:themeColor="background1" w:themeShade="80"/>
            <w:spacing w:val="60"/>
            <w:sz w:val="18"/>
            <w:szCs w:val="18"/>
            <w:lang w:val="cs-CZ" w:eastAsia="cs-CZ"/>
          </w:rPr>
          <mc:AlternateContent>
            <mc:Choice Requires="wps">
              <w:drawing>
                <wp:anchor distT="0" distB="0" distL="114300" distR="114300" simplePos="0" relativeHeight="251680768" behindDoc="1" locked="0" layoutInCell="1" allowOverlap="1" wp14:anchorId="594FF8E1" wp14:editId="6C0BB6D6">
                  <wp:simplePos x="0" y="0"/>
                  <wp:positionH relativeFrom="column">
                    <wp:posOffset>50800</wp:posOffset>
                  </wp:positionH>
                  <wp:positionV relativeFrom="paragraph">
                    <wp:posOffset>-65405</wp:posOffset>
                  </wp:positionV>
                  <wp:extent cx="5379720" cy="601345"/>
                  <wp:effectExtent l="0" t="0" r="0" b="8255"/>
                  <wp:wrapThrough wrapText="bothSides">
                    <wp:wrapPolygon edited="0">
                      <wp:start x="0" y="0"/>
                      <wp:lineTo x="0" y="21212"/>
                      <wp:lineTo x="21493" y="21212"/>
                      <wp:lineTo x="21493"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379720" cy="601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821" w:rsidRPr="006E1F23" w:rsidRDefault="00E72821" w:rsidP="00E72821">
                              <w:pPr>
                                <w:pStyle w:val="Zpat"/>
                                <w:jc w:val="both"/>
                                <w:rPr>
                                  <w:lang w:val="en-US"/>
                                </w:rPr>
                              </w:pPr>
                              <w:r w:rsidRPr="00497DCE">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Council of Bars and Law Societies of Europe</w:t>
                              </w:r>
                              <w:r>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 xml:space="preserve"> - </w:t>
                              </w:r>
                              <w:r w:rsidRPr="005D01CF">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Conseil des barreaux européens</w:t>
                              </w:r>
                            </w:p>
                            <w:p w:rsidR="00E72821" w:rsidRPr="00E72821" w:rsidRDefault="00E72821" w:rsidP="00E72821">
                              <w:pPr>
                                <w:rPr>
                                  <w:rFonts w:ascii="Arial" w:hAnsi="Arial" w:cs="Arial"/>
                                  <w:color w:val="002060"/>
                                  <w:lang w:val="fr-BE"/>
                                </w:rPr>
                              </w:pPr>
                              <w:r w:rsidRPr="00E72821">
                                <w:rPr>
                                  <w:rFonts w:ascii="Arial" w:hAnsi="Arial" w:cs="Arial"/>
                                  <w:color w:val="002060"/>
                                  <w:lang w:val="fr-BE"/>
                                </w:rPr>
                                <w:t>Rue Joseph II, 40 /8 – 1000 Bruxelles</w:t>
                              </w:r>
                              <w:r>
                                <w:rPr>
                                  <w:rFonts w:ascii="Arial" w:hAnsi="Arial" w:cs="Arial"/>
                                  <w:color w:val="002060"/>
                                  <w:lang w:val="fr-BE"/>
                                </w:rPr>
                                <w:t xml:space="preserve"> | </w:t>
                              </w:r>
                              <w:r w:rsidRPr="00E72821">
                                <w:rPr>
                                  <w:rFonts w:ascii="Arial" w:hAnsi="Arial" w:cs="Arial"/>
                                  <w:color w:val="002060"/>
                                  <w:lang w:val="fr-BE"/>
                                </w:rPr>
                                <w:t xml:space="preserve">T. : +32 (0)2 234 65 10 – F. : +32 (0)2 234 65 11 </w:t>
                              </w:r>
                            </w:p>
                            <w:p w:rsidR="00E72821" w:rsidRPr="00E72821" w:rsidRDefault="00E72821" w:rsidP="00E72821">
                              <w:pPr>
                                <w:rPr>
                                  <w:rFonts w:ascii="Arial" w:hAnsi="Arial" w:cs="Arial"/>
                                  <w:color w:val="002060"/>
                                  <w:lang w:val="fr-BE"/>
                                </w:rPr>
                              </w:pPr>
                              <w:r w:rsidRPr="00E72821">
                                <w:rPr>
                                  <w:rFonts w:ascii="Arial" w:hAnsi="Arial" w:cs="Arial"/>
                                  <w:color w:val="002060"/>
                                  <w:lang w:val="fr-BE"/>
                                </w:rPr>
                                <w:t xml:space="preserve">Email : ccbe@ccbe.eu – </w:t>
                              </w:r>
                              <w:hyperlink r:id="rId1" w:history="1">
                                <w:r w:rsidRPr="00E72821">
                                  <w:rPr>
                                    <w:rStyle w:val="Hypertextovodkaz"/>
                                    <w:rFonts w:ascii="Arial" w:hAnsi="Arial" w:cs="Arial"/>
                                    <w:lang w:val="fr-BE"/>
                                  </w:rPr>
                                  <w:t>www.ccbe.eu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4pt;margin-top:-5.15pt;width:423.6pt;height:47.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" fillcolor="white [3201]" stroked="f" strokeweight=".5pt">
                  <v:textbox>
                    <w:txbxContent>
                      <w:p w:rsidR="00E72821" w:rsidRPr="006E1F23" w:rsidRDefault="00E72821" w:rsidP="00E72821">
                        <w:pPr>
                          <w:pStyle w:val="Zpat"/>
                          <w:jc w:val="both"/>
                          <w:rPr>
                            <w:lang w:val="en-US"/>
                          </w:rPr>
                        </w:pPr>
                        <w:r w:rsidRPr="00497DCE">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Council of Bars and Law Societies of Europe</w:t>
                        </w:r>
                        <w:r>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 xml:space="preserve"> - </w:t>
                        </w:r>
                        <w:r w:rsidRPr="005D01CF">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Conseil des barreaux européens</w:t>
                        </w:r>
                      </w:p>
                      <w:p w:rsidR="00E72821" w:rsidRPr="00E72821" w:rsidRDefault="00E72821" w:rsidP="00E72821">
                        <w:pPr>
                          <w:rPr>
                            <w:rFonts w:ascii="Arial" w:hAnsi="Arial" w:cs="Arial"/>
                            <w:color w:val="002060"/>
                            <w:lang w:val="fr-BE"/>
                          </w:rPr>
                        </w:pPr>
                        <w:r w:rsidRPr="00E72821">
                          <w:rPr>
                            <w:rFonts w:ascii="Arial" w:hAnsi="Arial" w:cs="Arial"/>
                            <w:color w:val="002060"/>
                            <w:lang w:val="fr-BE"/>
                          </w:rPr>
                          <w:t>Rue Joseph II, 40 /8 – 1000 Bruxelles</w:t>
                        </w:r>
                        <w:r>
                          <w:rPr>
                            <w:rFonts w:ascii="Arial" w:hAnsi="Arial" w:cs="Arial"/>
                            <w:color w:val="002060"/>
                            <w:lang w:val="fr-BE"/>
                          </w:rPr>
                          <w:t xml:space="preserve"> | </w:t>
                        </w:r>
                        <w:r w:rsidRPr="00E72821">
                          <w:rPr>
                            <w:rFonts w:ascii="Arial" w:hAnsi="Arial" w:cs="Arial"/>
                            <w:color w:val="002060"/>
                            <w:lang w:val="fr-BE"/>
                          </w:rPr>
                          <w:t xml:space="preserve">T. : +32 (0)2 234 65 10 – F. : +32 (0)2 234 65 11 </w:t>
                        </w:r>
                      </w:p>
                      <w:p w:rsidR="00E72821" w:rsidRPr="00E72821" w:rsidRDefault="00E72821" w:rsidP="00E72821">
                        <w:pPr>
                          <w:rPr>
                            <w:rFonts w:ascii="Arial" w:hAnsi="Arial" w:cs="Arial"/>
                            <w:color w:val="002060"/>
                            <w:lang w:val="fr-BE"/>
                          </w:rPr>
                        </w:pPr>
                        <w:r w:rsidRPr="00E72821">
                          <w:rPr>
                            <w:rFonts w:ascii="Arial" w:hAnsi="Arial" w:cs="Arial"/>
                            <w:color w:val="002060"/>
                            <w:lang w:val="fr-BE"/>
                          </w:rPr>
                          <w:t xml:space="preserve">Email : ccbe@ccbe.eu – </w:t>
                        </w:r>
                        <w:hyperlink r:id="rId2" w:history="1">
                          <w:r w:rsidRPr="00E72821">
                            <w:rPr>
                              <w:rStyle w:val="Hypertextovodkaz"/>
                              <w:rFonts w:ascii="Arial" w:hAnsi="Arial" w:cs="Arial"/>
                              <w:lang w:val="fr-BE"/>
                            </w:rPr>
                            <w:t>www.ccbe.eu</w:t>
                          </w:r>
                        </w:hyperlink>
                      </w:p>
                    </w:txbxContent>
                  </v:textbox>
                  <w10:wrap type="through"/>
                </v:shape>
              </w:pict>
            </mc:Fallback>
          </mc:AlternateContent>
        </w:r>
        <w:r w:rsidRPr="00C67D4A">
          <w:rPr>
            <w:rFonts w:ascii="Verdana" w:hAnsi="Verdana"/>
            <w:color w:val="808080" w:themeColor="background1" w:themeShade="80"/>
            <w:spacing w:val="60"/>
            <w:sz w:val="18"/>
            <w:szCs w:val="18"/>
          </w:rPr>
          <w:fldChar w:fldCharType="begin"/>
        </w:r>
        <w:r w:rsidRPr="00C67D4A">
          <w:rPr>
            <w:rFonts w:ascii="Verdana" w:hAnsi="Verdana"/>
            <w:color w:val="808080" w:themeColor="background1" w:themeShade="80"/>
            <w:spacing w:val="60"/>
            <w:sz w:val="18"/>
            <w:szCs w:val="18"/>
          </w:rPr>
          <w:instrText xml:space="preserve"> PAGE   \* MERGEFORMAT </w:instrText>
        </w:r>
        <w:r w:rsidRPr="00C67D4A">
          <w:rPr>
            <w:rFonts w:ascii="Verdana" w:hAnsi="Verdana"/>
            <w:color w:val="808080" w:themeColor="background1" w:themeShade="80"/>
            <w:spacing w:val="60"/>
            <w:sz w:val="18"/>
            <w:szCs w:val="18"/>
          </w:rPr>
          <w:fldChar w:fldCharType="separate"/>
        </w:r>
        <w:r w:rsidR="00B262E6">
          <w:rPr>
            <w:rFonts w:ascii="Verdana" w:hAnsi="Verdana"/>
            <w:noProof/>
            <w:color w:val="808080" w:themeColor="background1" w:themeShade="80"/>
            <w:spacing w:val="60"/>
            <w:sz w:val="18"/>
            <w:szCs w:val="18"/>
          </w:rPr>
          <w:t>2</w:t>
        </w:r>
        <w:r w:rsidRPr="00C67D4A">
          <w:rPr>
            <w:rFonts w:ascii="Verdana" w:hAnsi="Verdana"/>
            <w:color w:val="808080" w:themeColor="background1" w:themeShade="80"/>
            <w:spacing w:val="60"/>
            <w:sz w:val="18"/>
            <w:szCs w:val="18"/>
          </w:rPr>
          <w:fldChar w:fldCharType="end"/>
        </w:r>
      </w:p>
    </w:sdtContent>
  </w:sdt>
  <w:p w:rsidR="005B2CC3" w:rsidRDefault="005B2C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74408"/>
      <w:docPartObj>
        <w:docPartGallery w:val="Page Numbers (Bottom of Page)"/>
        <w:docPartUnique/>
      </w:docPartObj>
    </w:sdtPr>
    <w:sdtEndPr>
      <w:rPr>
        <w:color w:val="808080" w:themeColor="background1" w:themeShade="80"/>
        <w:spacing w:val="60"/>
      </w:rPr>
    </w:sdtEndPr>
    <w:sdtContent>
      <w:p w:rsidR="00E72821" w:rsidRDefault="00C67D4A" w:rsidP="00C67D4A">
        <w:pPr>
          <w:pStyle w:val="Zpat"/>
          <w:pBdr>
            <w:top w:val="single" w:sz="4" w:space="0" w:color="D9D9D9" w:themeColor="background1" w:themeShade="D9"/>
          </w:pBdr>
          <w:jc w:val="right"/>
        </w:pPr>
        <w:r w:rsidRPr="00C67D4A">
          <w:rPr>
            <w:rFonts w:ascii="Verdana" w:hAnsi="Verdana"/>
            <w:noProof/>
            <w:color w:val="808080" w:themeColor="background1" w:themeShade="80"/>
            <w:spacing w:val="60"/>
            <w:sz w:val="18"/>
            <w:szCs w:val="18"/>
            <w:lang w:val="cs-CZ" w:eastAsia="cs-CZ"/>
          </w:rPr>
          <mc:AlternateContent>
            <mc:Choice Requires="wps">
              <w:drawing>
                <wp:anchor distT="0" distB="0" distL="114300" distR="114300" simplePos="0" relativeHeight="251672576" behindDoc="1" locked="0" layoutInCell="1" allowOverlap="1" wp14:anchorId="194F8F68" wp14:editId="1C3D4194">
                  <wp:simplePos x="0" y="0"/>
                  <wp:positionH relativeFrom="column">
                    <wp:posOffset>-101600</wp:posOffset>
                  </wp:positionH>
                  <wp:positionV relativeFrom="paragraph">
                    <wp:posOffset>6985</wp:posOffset>
                  </wp:positionV>
                  <wp:extent cx="5379720" cy="601345"/>
                  <wp:effectExtent l="0" t="0" r="0" b="8255"/>
                  <wp:wrapThrough wrapText="bothSides">
                    <wp:wrapPolygon edited="0">
                      <wp:start x="0" y="0"/>
                      <wp:lineTo x="0" y="21212"/>
                      <wp:lineTo x="21493" y="21212"/>
                      <wp:lineTo x="21493"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5379720" cy="601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D4A" w:rsidRPr="006E1F23" w:rsidRDefault="00C67D4A" w:rsidP="00C67D4A">
                              <w:pPr>
                                <w:pStyle w:val="Zpat"/>
                                <w:jc w:val="both"/>
                                <w:rPr>
                                  <w:lang w:val="en-US"/>
                                </w:rPr>
                              </w:pPr>
                              <w:r w:rsidRPr="00497DCE">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Council of Bars and Law Societies of Europe</w:t>
                              </w:r>
                              <w:r>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 xml:space="preserve"> - </w:t>
                              </w:r>
                              <w:r w:rsidRPr="005D01CF">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Conseil des barreaux européens</w:t>
                              </w:r>
                            </w:p>
                            <w:p w:rsidR="00E72821" w:rsidRPr="00E72821" w:rsidRDefault="00E72821" w:rsidP="00E72821">
                              <w:pPr>
                                <w:rPr>
                                  <w:rFonts w:ascii="Arial" w:hAnsi="Arial" w:cs="Arial"/>
                                  <w:color w:val="002060"/>
                                  <w:lang w:val="fr-BE"/>
                                </w:rPr>
                              </w:pPr>
                              <w:r w:rsidRPr="00E72821">
                                <w:rPr>
                                  <w:rFonts w:ascii="Arial" w:hAnsi="Arial" w:cs="Arial"/>
                                  <w:color w:val="002060"/>
                                  <w:lang w:val="fr-BE"/>
                                </w:rPr>
                                <w:t>Rue Joseph II, 40 /8 – 1000 Bruxelles</w:t>
                              </w:r>
                              <w:r>
                                <w:rPr>
                                  <w:rFonts w:ascii="Arial" w:hAnsi="Arial" w:cs="Arial"/>
                                  <w:color w:val="002060"/>
                                  <w:lang w:val="fr-BE"/>
                                </w:rPr>
                                <w:t xml:space="preserve"> | </w:t>
                              </w:r>
                              <w:r w:rsidRPr="00E72821">
                                <w:rPr>
                                  <w:rFonts w:ascii="Arial" w:hAnsi="Arial" w:cs="Arial"/>
                                  <w:color w:val="002060"/>
                                  <w:lang w:val="fr-BE"/>
                                </w:rPr>
                                <w:t xml:space="preserve">T. : +32 (0)2 234 65 10 – F. : +32 (0)2 234 65 11 </w:t>
                              </w:r>
                            </w:p>
                            <w:p w:rsidR="00C67D4A" w:rsidRPr="00E72821" w:rsidRDefault="00E72821" w:rsidP="00E72821">
                              <w:pPr>
                                <w:rPr>
                                  <w:rFonts w:ascii="Arial" w:hAnsi="Arial" w:cs="Arial"/>
                                  <w:color w:val="002060"/>
                                  <w:lang w:val="fr-BE"/>
                                </w:rPr>
                              </w:pPr>
                              <w:r w:rsidRPr="00E72821">
                                <w:rPr>
                                  <w:rFonts w:ascii="Arial" w:hAnsi="Arial" w:cs="Arial"/>
                                  <w:color w:val="002060"/>
                                  <w:lang w:val="fr-BE"/>
                                </w:rPr>
                                <w:t xml:space="preserve">Email : ccbe@ccbe.eu – </w:t>
                              </w:r>
                              <w:hyperlink r:id="rId1" w:history="1">
                                <w:r w:rsidRPr="00E72821">
                                  <w:rPr>
                                    <w:rStyle w:val="Hypertextovodkaz"/>
                                    <w:rFonts w:ascii="Arial" w:hAnsi="Arial" w:cs="Arial"/>
                                    <w:lang w:val="fr-BE"/>
                                  </w:rPr>
                                  <w:t>www.ccbe.eu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left:0;text-align:left;margin-left:-8pt;margin-top:.55pt;width:423.6pt;height:4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" fillcolor="white [3201]" stroked="f" strokeweight=".5pt">
                  <v:textbox>
                    <w:txbxContent>
                      <w:p w:rsidR="00C67D4A" w:rsidRPr="006E1F23" w:rsidRDefault="00C67D4A" w:rsidP="00C67D4A">
                        <w:pPr>
                          <w:pStyle w:val="Zpat"/>
                          <w:jc w:val="both"/>
                          <w:rPr>
                            <w:lang w:val="en-US"/>
                          </w:rPr>
                        </w:pPr>
                        <w:r w:rsidRPr="00497DCE">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Council of Bars and Law Societies of Europe</w:t>
                        </w:r>
                        <w:r>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 xml:space="preserve"> - </w:t>
                        </w:r>
                        <w:r w:rsidRPr="005D01CF">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Conseil des barreaux européens</w:t>
                        </w:r>
                      </w:p>
                      <w:p w:rsidR="00E72821" w:rsidRPr="00E72821" w:rsidRDefault="00E72821" w:rsidP="00E72821">
                        <w:pPr>
                          <w:rPr>
                            <w:rFonts w:ascii="Arial" w:hAnsi="Arial" w:cs="Arial"/>
                            <w:color w:val="002060"/>
                            <w:lang w:val="fr-BE"/>
                          </w:rPr>
                        </w:pPr>
                        <w:r w:rsidRPr="00E72821">
                          <w:rPr>
                            <w:rFonts w:ascii="Arial" w:hAnsi="Arial" w:cs="Arial"/>
                            <w:color w:val="002060"/>
                            <w:lang w:val="fr-BE"/>
                          </w:rPr>
                          <w:t>Rue Joseph II, 40 /8 – 1000 Bruxelles</w:t>
                        </w:r>
                        <w:r>
                          <w:rPr>
                            <w:rFonts w:ascii="Arial" w:hAnsi="Arial" w:cs="Arial"/>
                            <w:color w:val="002060"/>
                            <w:lang w:val="fr-BE"/>
                          </w:rPr>
                          <w:t xml:space="preserve"> | </w:t>
                        </w:r>
                        <w:r w:rsidRPr="00E72821">
                          <w:rPr>
                            <w:rFonts w:ascii="Arial" w:hAnsi="Arial" w:cs="Arial"/>
                            <w:color w:val="002060"/>
                            <w:lang w:val="fr-BE"/>
                          </w:rPr>
                          <w:t xml:space="preserve">T. : +32 (0)2 234 65 10 – F. : +32 (0)2 234 65 11 </w:t>
                        </w:r>
                      </w:p>
                      <w:p w:rsidR="00C67D4A" w:rsidRPr="00E72821" w:rsidRDefault="00E72821" w:rsidP="00E72821">
                        <w:pPr>
                          <w:rPr>
                            <w:rFonts w:ascii="Arial" w:hAnsi="Arial" w:cs="Arial"/>
                            <w:color w:val="002060"/>
                            <w:lang w:val="fr-BE"/>
                          </w:rPr>
                        </w:pPr>
                        <w:r w:rsidRPr="00E72821">
                          <w:rPr>
                            <w:rFonts w:ascii="Arial" w:hAnsi="Arial" w:cs="Arial"/>
                            <w:color w:val="002060"/>
                            <w:lang w:val="fr-BE"/>
                          </w:rPr>
                          <w:t xml:space="preserve">Email : ccbe@ccbe.eu – </w:t>
                        </w:r>
                        <w:hyperlink r:id="rId2" w:history="1">
                          <w:r w:rsidRPr="00E72821">
                            <w:rPr>
                              <w:rStyle w:val="Hypertextovodkaz"/>
                              <w:rFonts w:ascii="Arial" w:hAnsi="Arial" w:cs="Arial"/>
                              <w:lang w:val="fr-BE"/>
                            </w:rPr>
                            <w:t>www.ccbe.eu</w:t>
                          </w:r>
                        </w:hyperlink>
                      </w:p>
                    </w:txbxContent>
                  </v:textbox>
                  <w10:wrap type="through"/>
                </v:shape>
              </w:pict>
            </mc:Fallback>
          </mc:AlternateContent>
        </w:r>
        <w:r w:rsidR="00CC2DC6">
          <w:tab/>
        </w:r>
        <w:r w:rsidR="00CC2DC6">
          <w:tab/>
        </w:r>
      </w:p>
      <w:p w:rsidR="00E72821" w:rsidRDefault="004C15DC" w:rsidP="004C15DC">
        <w:pPr>
          <w:pStyle w:val="Zpat"/>
          <w:pBdr>
            <w:top w:val="single" w:sz="4" w:space="0" w:color="D9D9D9" w:themeColor="background1" w:themeShade="D9"/>
          </w:pBdr>
          <w:tabs>
            <w:tab w:val="left" w:pos="1401"/>
          </w:tabs>
        </w:pPr>
        <w:r>
          <w:tab/>
        </w:r>
        <w:r>
          <w:tab/>
        </w:r>
      </w:p>
      <w:p w:rsidR="00C67D4A" w:rsidRDefault="00C67D4A" w:rsidP="00C67D4A">
        <w:pPr>
          <w:pStyle w:val="Zpat"/>
          <w:pBdr>
            <w:top w:val="single" w:sz="4" w:space="0" w:color="D9D9D9" w:themeColor="background1" w:themeShade="D9"/>
          </w:pBdr>
          <w:jc w:val="right"/>
        </w:pPr>
        <w:r w:rsidRPr="00E72821">
          <w:rPr>
            <w:rFonts w:ascii="Arial" w:hAnsi="Arial" w:cs="Arial"/>
            <w:color w:val="808080" w:themeColor="background1" w:themeShade="80"/>
            <w:spacing w:val="60"/>
            <w:sz w:val="18"/>
            <w:szCs w:val="18"/>
          </w:rPr>
          <w:fldChar w:fldCharType="begin"/>
        </w:r>
        <w:r w:rsidRPr="00E72821">
          <w:rPr>
            <w:rFonts w:ascii="Arial" w:hAnsi="Arial" w:cs="Arial"/>
            <w:color w:val="808080" w:themeColor="background1" w:themeShade="80"/>
            <w:spacing w:val="60"/>
            <w:sz w:val="18"/>
            <w:szCs w:val="18"/>
          </w:rPr>
          <w:instrText xml:space="preserve"> PAGE   \* MERGEFORMAT </w:instrText>
        </w:r>
        <w:r w:rsidRPr="00E72821">
          <w:rPr>
            <w:rFonts w:ascii="Arial" w:hAnsi="Arial" w:cs="Arial"/>
            <w:color w:val="808080" w:themeColor="background1" w:themeShade="80"/>
            <w:spacing w:val="60"/>
            <w:sz w:val="18"/>
            <w:szCs w:val="18"/>
          </w:rPr>
          <w:fldChar w:fldCharType="separate"/>
        </w:r>
        <w:r w:rsidR="00B262E6">
          <w:rPr>
            <w:rFonts w:ascii="Arial" w:hAnsi="Arial" w:cs="Arial"/>
            <w:noProof/>
            <w:color w:val="808080" w:themeColor="background1" w:themeShade="80"/>
            <w:spacing w:val="60"/>
            <w:sz w:val="18"/>
            <w:szCs w:val="18"/>
          </w:rPr>
          <w:t>1</w:t>
        </w:r>
        <w:r w:rsidRPr="00E72821">
          <w:rPr>
            <w:rFonts w:ascii="Arial" w:hAnsi="Arial" w:cs="Arial"/>
            <w:color w:val="808080" w:themeColor="background1" w:themeShade="80"/>
            <w:spacing w:val="60"/>
            <w:sz w:val="18"/>
            <w:szCs w:val="18"/>
          </w:rPr>
          <w:fldChar w:fldCharType="end"/>
        </w:r>
      </w:p>
    </w:sdtContent>
  </w:sdt>
  <w:p w:rsidR="006E1F23" w:rsidRDefault="00E72821" w:rsidP="00E72821">
    <w:pPr>
      <w:pStyle w:val="Zpat"/>
      <w:tabs>
        <w:tab w:val="clear" w:pos="4536"/>
        <w:tab w:val="clear" w:pos="9072"/>
        <w:tab w:val="left" w:pos="934"/>
      </w:tabs>
      <w:jc w:val="both"/>
      <w:rPr>
        <w:rFonts w:ascii="Verdana" w:eastAsia="Calibri" w:hAnsi="Verdana"/>
        <w:b/>
        <w:noProof/>
        <w:color w:val="333399"/>
        <w:sz w:val="18"/>
        <w:szCs w:val="18"/>
        <w:lang w:val="fr-BE"/>
      </w:rPr>
    </w:pPr>
    <w:r>
      <w:rPr>
        <w:rFonts w:ascii="Verdana" w:eastAsia="Calibri" w:hAnsi="Verdana"/>
        <w:b/>
        <w:noProof/>
        <w:color w:val="333399"/>
        <w:sz w:val="18"/>
        <w:szCs w:val="18"/>
        <w:lang w:val="fr-BE"/>
      </w:rPr>
      <w:tab/>
    </w:r>
  </w:p>
  <w:p w:rsidR="006E1F23" w:rsidRDefault="006E1F23" w:rsidP="006E1F23">
    <w:pPr>
      <w:pStyle w:val="Zpat"/>
      <w:jc w:val="both"/>
      <w:rPr>
        <w:rFonts w:ascii="Verdana" w:eastAsia="Calibri" w:hAnsi="Verdana"/>
        <w:b/>
        <w:noProof/>
        <w:color w:val="333399"/>
        <w:sz w:val="18"/>
        <w:szCs w:val="18"/>
        <w:lang w:val="fr-BE"/>
      </w:rPr>
    </w:pPr>
  </w:p>
  <w:p w:rsidR="0089746E" w:rsidRDefault="00897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F0" w:rsidRDefault="000A29F0">
      <w:r>
        <w:separator/>
      </w:r>
    </w:p>
  </w:footnote>
  <w:footnote w:type="continuationSeparator" w:id="0">
    <w:p w:rsidR="000A29F0" w:rsidRDefault="000A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3E" w:rsidRDefault="00FD693E" w:rsidP="00FD693E">
    <w:pPr>
      <w:pStyle w:val="Zhlav"/>
      <w:tabs>
        <w:tab w:val="clear" w:pos="4536"/>
        <w:tab w:val="clear" w:pos="9072"/>
      </w:tabs>
    </w:pPr>
    <w:r>
      <w:rPr>
        <w:noProof/>
        <w:lang w:val="cs-CZ" w:eastAsia="cs-CZ"/>
      </w:rPr>
      <w:drawing>
        <wp:anchor distT="0" distB="0" distL="114300" distR="114300" simplePos="0" relativeHeight="251661312" behindDoc="0" locked="0" layoutInCell="1" allowOverlap="1" wp14:anchorId="692CACEC" wp14:editId="71F2DA75">
          <wp:simplePos x="0" y="0"/>
          <wp:positionH relativeFrom="column">
            <wp:posOffset>-719455</wp:posOffset>
          </wp:positionH>
          <wp:positionV relativeFrom="paragraph">
            <wp:posOffset>-119380</wp:posOffset>
          </wp:positionV>
          <wp:extent cx="1076325" cy="1076325"/>
          <wp:effectExtent l="0" t="0" r="0" b="28575"/>
          <wp:wrapSquare wrapText="bothSides"/>
          <wp:docPr id="9" name="Picture 9" descr="logo C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C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FD693E" w:rsidRDefault="00FD693E" w:rsidP="005B2CC3">
    <w:pPr>
      <w:tabs>
        <w:tab w:val="center" w:pos="4536"/>
        <w:tab w:val="right" w:pos="9923"/>
      </w:tabs>
      <w:jc w:val="right"/>
      <w:rPr>
        <w:rFonts w:ascii="Arial" w:eastAsia="Calibri" w:hAnsi="Arial"/>
        <w:b/>
        <w:color w:val="333399"/>
        <w:lang w:val="en-GB" w:eastAsia="en-US"/>
      </w:rPr>
    </w:pPr>
    <w:r w:rsidRPr="009B532C">
      <w:rPr>
        <w:rFonts w:ascii="Arial" w:eastAsia="Calibri" w:hAnsi="Arial"/>
        <w:b/>
        <w:color w:val="333399"/>
        <w:lang w:val="en-GB" w:eastAsia="en-US"/>
      </w:rPr>
      <w:tab/>
    </w:r>
    <w:r w:rsidRPr="009B532C">
      <w:rPr>
        <w:rFonts w:ascii="Arial" w:eastAsia="Calibri" w:hAnsi="Arial"/>
        <w:b/>
        <w:color w:val="333399"/>
        <w:lang w:val="en-GB" w:eastAsia="en-US"/>
      </w:rPr>
      <w:tab/>
    </w:r>
  </w:p>
  <w:p w:rsidR="005B2CC3" w:rsidRPr="005D01CF" w:rsidRDefault="002925B6" w:rsidP="005B2CC3">
    <w:pPr>
      <w:tabs>
        <w:tab w:val="center" w:pos="4536"/>
        <w:tab w:val="right" w:pos="9923"/>
      </w:tabs>
      <w:jc w:val="right"/>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pPr>
    <w:r w:rsidRPr="002925B6">
      <w:rPr>
        <w:noProof/>
        <w:lang w:val="cs-CZ" w:eastAsia="cs-CZ"/>
      </w:rPr>
      <w:drawing>
        <wp:anchor distT="0" distB="0" distL="114300" distR="114300" simplePos="0" relativeHeight="251678720" behindDoc="0" locked="0" layoutInCell="1" allowOverlap="1" wp14:anchorId="25E2853E" wp14:editId="7E1E62C7">
          <wp:simplePos x="0" y="0"/>
          <wp:positionH relativeFrom="column">
            <wp:posOffset>4582382</wp:posOffset>
          </wp:positionH>
          <wp:positionV relativeFrom="paragraph">
            <wp:posOffset>80010</wp:posOffset>
          </wp:positionV>
          <wp:extent cx="1882140" cy="1256030"/>
          <wp:effectExtent l="38100" t="38100" r="99060" b="965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bar aw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2140" cy="125603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FD693E" w:rsidRDefault="00FD693E" w:rsidP="006E1F23">
    <w:pPr>
      <w:tabs>
        <w:tab w:val="center" w:pos="4536"/>
        <w:tab w:val="right" w:pos="9923"/>
      </w:tabs>
      <w:ind w:left="5103"/>
      <w:jc w:val="right"/>
      <w:rPr>
        <w:rFonts w:ascii="Verdana" w:eastAsia="Calibri" w:hAnsi="Verdana"/>
        <w:i/>
        <w:color w:val="333399"/>
        <w:sz w:val="14"/>
        <w:lang w:val="en-GB" w:eastAsia="en-US"/>
      </w:rPr>
    </w:pPr>
    <w:r w:rsidRPr="0024152D">
      <w:rPr>
        <w:rFonts w:ascii="Verdana" w:eastAsia="Calibri" w:hAnsi="Verdana"/>
        <w:i/>
        <w:color w:val="333399"/>
        <w:sz w:val="14"/>
        <w:lang w:val="en-GB" w:eastAsia="en-US"/>
      </w:rPr>
      <w:tab/>
    </w:r>
  </w:p>
  <w:p w:rsidR="006E1F23" w:rsidRDefault="006E1F23" w:rsidP="006E1F23">
    <w:pPr>
      <w:tabs>
        <w:tab w:val="center" w:pos="4536"/>
        <w:tab w:val="right" w:pos="9923"/>
      </w:tabs>
      <w:ind w:left="5103"/>
      <w:jc w:val="right"/>
      <w:rPr>
        <w:rFonts w:ascii="Verdana" w:eastAsia="Calibri" w:hAnsi="Verdana"/>
        <w:i/>
        <w:color w:val="333399"/>
        <w:sz w:val="14"/>
        <w:lang w:val="en-GB" w:eastAsia="en-US"/>
      </w:rPr>
    </w:pPr>
  </w:p>
  <w:p w:rsidR="006E1F23" w:rsidRPr="0024152D" w:rsidRDefault="006E1F23" w:rsidP="006E1F23">
    <w:pPr>
      <w:tabs>
        <w:tab w:val="center" w:pos="4536"/>
        <w:tab w:val="right" w:pos="9923"/>
      </w:tabs>
      <w:ind w:left="5103"/>
      <w:jc w:val="right"/>
      <w:rPr>
        <w:rFonts w:ascii="Verdana" w:eastAsia="Calibri" w:hAnsi="Verdana"/>
        <w:sz w:val="18"/>
        <w:lang w:val="fr-BE" w:eastAsia="en-US"/>
      </w:rPr>
    </w:pPr>
  </w:p>
  <w:p w:rsidR="00FD693E" w:rsidRDefault="002925B6">
    <w:pPr>
      <w:pStyle w:val="Zhlav"/>
    </w:pPr>
    <w:r w:rsidRPr="002925B6">
      <w:rPr>
        <w:noProof/>
        <w:lang w:val="cs-CZ" w:eastAsia="cs-CZ"/>
      </w:rPr>
      <mc:AlternateContent>
        <mc:Choice Requires="wps">
          <w:drawing>
            <wp:anchor distT="0" distB="0" distL="114300" distR="114300" simplePos="0" relativeHeight="251677696" behindDoc="0" locked="0" layoutInCell="0" allowOverlap="1" wp14:anchorId="6EC06287" wp14:editId="6590C728">
              <wp:simplePos x="0" y="0"/>
              <wp:positionH relativeFrom="column">
                <wp:posOffset>-474345</wp:posOffset>
              </wp:positionH>
              <wp:positionV relativeFrom="paragraph">
                <wp:posOffset>92075</wp:posOffset>
              </wp:positionV>
              <wp:extent cx="4990465" cy="838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5B6" w:rsidRPr="006E1F23" w:rsidRDefault="002925B6" w:rsidP="002925B6">
                          <w:pPr>
                            <w:jc w:val="right"/>
                            <w:rPr>
                              <w:rFonts w:ascii="Verdana" w:hAnsi="Verdana"/>
                              <w:b/>
                              <w:bC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pPr>
                          <w:r w:rsidRPr="006E1F23">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CCBE</w:t>
                          </w:r>
                          <w:r>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Interview</w:t>
                          </w:r>
                          <w:r>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Atty. Assoc. Prof. Ümit KOCASAKAL</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President of Istanbul Bar Association</w:t>
                          </w:r>
                        </w:p>
                        <w:p w:rsidR="002925B6" w:rsidRPr="002925B6" w:rsidRDefault="002925B6" w:rsidP="002925B6">
                          <w:pPr>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7.35pt;margin-top:7.25pt;width:392.9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RWsw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" o:allowincell="f" filled="f" stroked="f">
              <v:textbox>
                <w:txbxContent>
                  <w:p w:rsidR="002925B6" w:rsidRPr="006E1F23" w:rsidRDefault="002925B6" w:rsidP="002925B6">
                    <w:pPr>
                      <w:jc w:val="right"/>
                      <w:rPr>
                        <w:rFonts w:ascii="Verdana" w:hAnsi="Verdana"/>
                        <w:b/>
                        <w:bC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pPr>
                    <w:r w:rsidRPr="006E1F23">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CCBE</w:t>
                    </w:r>
                    <w:r>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Interview</w:t>
                    </w:r>
                    <w:r>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Atty. Assoc. Prof. Ümit KOCASAKAL</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President of Istanbul Bar Association</w:t>
                    </w:r>
                  </w:p>
                  <w:p w:rsidR="002925B6" w:rsidRPr="002925B6" w:rsidRDefault="002925B6" w:rsidP="002925B6">
                    <w:pPr>
                      <w:rPr>
                        <w:color w:val="FFFFFF" w:themeColor="background1"/>
                        <w:lang w:val="en-GB"/>
                      </w:rPr>
                    </w:pPr>
                  </w:p>
                </w:txbxContent>
              </v:textbox>
              <w10:wrap type="square"/>
            </v:shape>
          </w:pict>
        </mc:Fallback>
      </mc:AlternateContent>
    </w:r>
    <w:r w:rsidR="005B2CC3" w:rsidRPr="00FD693E">
      <w:rPr>
        <w:noProof/>
        <w:lang w:val="cs-CZ" w:eastAsia="cs-CZ"/>
      </w:rPr>
      <w:drawing>
        <wp:anchor distT="0" distB="0" distL="114300" distR="114300" simplePos="0" relativeHeight="251663360" behindDoc="1" locked="0" layoutInCell="1" allowOverlap="1" wp14:anchorId="7E353BF1" wp14:editId="5B499AC3">
          <wp:simplePos x="0" y="0"/>
          <wp:positionH relativeFrom="column">
            <wp:posOffset>-900430</wp:posOffset>
          </wp:positionH>
          <wp:positionV relativeFrom="paragraph">
            <wp:posOffset>133350</wp:posOffset>
          </wp:positionV>
          <wp:extent cx="7678420" cy="814070"/>
          <wp:effectExtent l="0" t="0" r="0" b="5080"/>
          <wp:wrapTight wrapText="bothSides">
            <wp:wrapPolygon edited="0">
              <wp:start x="0" y="0"/>
              <wp:lineTo x="0" y="21229"/>
              <wp:lineTo x="21543" y="21229"/>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8420" cy="814070"/>
                  </a:xfrm>
                  <a:prstGeom prst="rect">
                    <a:avLst/>
                  </a:prstGeom>
                  <a:noFill/>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8A" w:rsidRDefault="00E27B65">
    <w:pPr>
      <w:pStyle w:val="Zhlav"/>
      <w:tabs>
        <w:tab w:val="clear" w:pos="4536"/>
        <w:tab w:val="clear" w:pos="9072"/>
      </w:tabs>
    </w:pPr>
    <w:r>
      <w:rPr>
        <w:noProof/>
        <w:lang w:val="cs-CZ" w:eastAsia="cs-CZ"/>
      </w:rPr>
      <w:drawing>
        <wp:anchor distT="0" distB="0" distL="114300" distR="114300" simplePos="0" relativeHeight="251659264" behindDoc="0" locked="0" layoutInCell="1" allowOverlap="1" wp14:anchorId="0A35AAFF" wp14:editId="47EDB002">
          <wp:simplePos x="0" y="0"/>
          <wp:positionH relativeFrom="column">
            <wp:posOffset>-719455</wp:posOffset>
          </wp:positionH>
          <wp:positionV relativeFrom="paragraph">
            <wp:posOffset>-119380</wp:posOffset>
          </wp:positionV>
          <wp:extent cx="1076325" cy="1076325"/>
          <wp:effectExtent l="0" t="0" r="0" b="28575"/>
          <wp:wrapSquare wrapText="bothSides"/>
          <wp:docPr id="13" name="Picture 13" descr="logo C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C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E1F23" w:rsidRPr="00497DCE" w:rsidRDefault="009B532C" w:rsidP="006E1F23">
    <w:pPr>
      <w:tabs>
        <w:tab w:val="center" w:pos="4536"/>
        <w:tab w:val="right" w:pos="9923"/>
      </w:tabs>
      <w:jc w:val="right"/>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pPr>
    <w:r w:rsidRPr="009B532C">
      <w:rPr>
        <w:rFonts w:ascii="Arial" w:eastAsia="Calibri" w:hAnsi="Arial"/>
        <w:b/>
        <w:color w:val="333399"/>
        <w:lang w:val="en-GB" w:eastAsia="en-US"/>
      </w:rPr>
      <w:tab/>
    </w:r>
    <w:r w:rsidRPr="009B532C">
      <w:rPr>
        <w:rFonts w:ascii="Arial" w:eastAsia="Calibri" w:hAnsi="Arial"/>
        <w:b/>
        <w:color w:val="333399"/>
        <w:lang w:val="en-GB" w:eastAsia="en-US"/>
      </w:rPr>
      <w:tab/>
    </w:r>
  </w:p>
  <w:p w:rsidR="009B532C" w:rsidRPr="00497DCE" w:rsidRDefault="002925B6" w:rsidP="009B532C">
    <w:pPr>
      <w:tabs>
        <w:tab w:val="center" w:pos="4536"/>
        <w:tab w:val="right" w:pos="9923"/>
      </w:tabs>
      <w:jc w:val="right"/>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pPr>
    <w:r>
      <w:rPr>
        <w:noProof/>
        <w:lang w:val="cs-CZ" w:eastAsia="cs-CZ"/>
      </w:rPr>
      <w:drawing>
        <wp:anchor distT="0" distB="0" distL="114300" distR="114300" simplePos="0" relativeHeight="251675648" behindDoc="0" locked="0" layoutInCell="1" allowOverlap="1" wp14:anchorId="1D82B5A6" wp14:editId="3A7F5741">
          <wp:simplePos x="0" y="0"/>
          <wp:positionH relativeFrom="column">
            <wp:posOffset>4596130</wp:posOffset>
          </wp:positionH>
          <wp:positionV relativeFrom="paragraph">
            <wp:posOffset>77470</wp:posOffset>
          </wp:positionV>
          <wp:extent cx="1882140" cy="1256030"/>
          <wp:effectExtent l="38100" t="38100" r="99060" b="965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bar aw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2140" cy="125603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356F8A" w:rsidRDefault="009B532C" w:rsidP="006E1F23">
    <w:pPr>
      <w:tabs>
        <w:tab w:val="center" w:pos="4536"/>
        <w:tab w:val="right" w:pos="9923"/>
      </w:tabs>
      <w:ind w:left="5103"/>
      <w:jc w:val="right"/>
      <w:rPr>
        <w:rFonts w:ascii="Verdana" w:eastAsia="Calibri" w:hAnsi="Verdana"/>
        <w:i/>
        <w:color w:val="333399"/>
        <w:sz w:val="14"/>
        <w:lang w:val="en-GB" w:eastAsia="en-US"/>
      </w:rPr>
    </w:pPr>
    <w:r w:rsidRPr="0024152D">
      <w:rPr>
        <w:rFonts w:ascii="Verdana" w:eastAsia="Calibri" w:hAnsi="Verdana"/>
        <w:i/>
        <w:color w:val="333399"/>
        <w:sz w:val="14"/>
        <w:lang w:val="en-GB" w:eastAsia="en-US"/>
      </w:rPr>
      <w:tab/>
    </w:r>
  </w:p>
  <w:p w:rsidR="006E1F23" w:rsidRDefault="006E1F23" w:rsidP="006E1F23">
    <w:pPr>
      <w:tabs>
        <w:tab w:val="center" w:pos="4536"/>
        <w:tab w:val="right" w:pos="9923"/>
      </w:tabs>
      <w:ind w:left="5103"/>
      <w:jc w:val="right"/>
      <w:rPr>
        <w:rFonts w:ascii="Verdana" w:eastAsia="Calibri" w:hAnsi="Verdana"/>
        <w:i/>
        <w:color w:val="333399"/>
        <w:sz w:val="14"/>
        <w:lang w:val="en-GB" w:eastAsia="en-US"/>
      </w:rPr>
    </w:pPr>
  </w:p>
  <w:p w:rsidR="006E1F23" w:rsidRPr="006E1F23" w:rsidRDefault="006E1F23" w:rsidP="006E1F23">
    <w:pPr>
      <w:tabs>
        <w:tab w:val="center" w:pos="4536"/>
        <w:tab w:val="right" w:pos="9923"/>
      </w:tabs>
      <w:ind w:left="5103"/>
      <w:jc w:val="right"/>
      <w:rPr>
        <w:rFonts w:ascii="Verdana" w:eastAsia="Calibri" w:hAnsi="Verdana"/>
        <w:sz w:val="8"/>
        <w:szCs w:val="8"/>
        <w:lang w:val="fr-BE" w:eastAsia="en-US"/>
      </w:rPr>
    </w:pPr>
  </w:p>
  <w:p w:rsidR="00FC72F2" w:rsidRPr="009B532C" w:rsidRDefault="00FC72F2" w:rsidP="009B532C">
    <w:pPr>
      <w:tabs>
        <w:tab w:val="center" w:pos="4536"/>
        <w:tab w:val="right" w:pos="9923"/>
      </w:tabs>
      <w:ind w:left="5103"/>
      <w:jc w:val="right"/>
      <w:rPr>
        <w:rFonts w:ascii="Arial" w:eastAsia="Calibri" w:hAnsi="Arial"/>
        <w:color w:val="333399"/>
        <w:sz w:val="18"/>
        <w:lang w:val="fr-BE" w:eastAsia="en-US"/>
      </w:rPr>
    </w:pPr>
  </w:p>
  <w:p w:rsidR="00356F8A" w:rsidRDefault="002925B6">
    <w:r>
      <w:rPr>
        <w:noProof/>
        <w:lang w:val="cs-CZ" w:eastAsia="cs-CZ"/>
      </w:rPr>
      <mc:AlternateContent>
        <mc:Choice Requires="wps">
          <w:drawing>
            <wp:anchor distT="0" distB="0" distL="114300" distR="114300" simplePos="0" relativeHeight="251657216" behindDoc="0" locked="0" layoutInCell="0" allowOverlap="1" wp14:anchorId="4FAF8AB6" wp14:editId="1C693C90">
              <wp:simplePos x="0" y="0"/>
              <wp:positionH relativeFrom="column">
                <wp:posOffset>-460375</wp:posOffset>
              </wp:positionH>
              <wp:positionV relativeFrom="paragraph">
                <wp:posOffset>34925</wp:posOffset>
              </wp:positionV>
              <wp:extent cx="4990465" cy="83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CE" w:rsidRPr="006E1F23" w:rsidRDefault="00497DCE" w:rsidP="00497DCE">
                          <w:pPr>
                            <w:jc w:val="right"/>
                            <w:rPr>
                              <w:rFonts w:ascii="Verdana" w:hAnsi="Verdana"/>
                              <w:b/>
                              <w:bC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pPr>
                          <w:r w:rsidRPr="006E1F23">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2925B6"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CCBE</w:t>
                          </w:r>
                          <w:r w:rsidR="002925B6">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2925B6"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Interview</w:t>
                          </w:r>
                          <w:r w:rsid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Atty. Assoc. Prof. Ümit KOCASAKAL</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President of Istanbul Bar Association</w:t>
                          </w:r>
                        </w:p>
                        <w:p w:rsidR="00356F8A" w:rsidRPr="002925B6" w:rsidRDefault="00356F8A">
                          <w:pPr>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25pt;margin-top:2.75pt;width:392.9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0+tg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" o:allowincell="f" filled="f" stroked="f">
              <v:textbox>
                <w:txbxContent>
                  <w:p w:rsidR="00497DCE" w:rsidRPr="006E1F23" w:rsidRDefault="00497DCE" w:rsidP="00497DCE">
                    <w:pPr>
                      <w:jc w:val="right"/>
                      <w:rPr>
                        <w:rFonts w:ascii="Verdana" w:hAnsi="Verdana"/>
                        <w:b/>
                        <w:bC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pPr>
                    <w:r w:rsidRPr="006E1F23">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2925B6"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CCBE</w:t>
                    </w:r>
                    <w:r w:rsidR="002925B6">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2925B6" w:rsidRP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Interview</w:t>
                    </w:r>
                    <w:r w:rsidR="002925B6">
                      <w:rPr>
                        <w:rFonts w:ascii="Verdana" w:hAnsi="Verdana"/>
                        <w:b/>
                        <w:bCs/>
                        <w:caps/>
                        <w:sz w:val="32"/>
                        <w:szCs w:val="32"/>
                        <w:lang w:val="en-US"/>
                        <w14:shadow w14:blurRad="50800" w14:dist="38100" w14:dir="2700000" w14:sx="100000" w14:sy="100000" w14:kx="0" w14:ky="0" w14:algn="tl">
                          <w14:srgbClr w14:val="000000">
                            <w14:alpha w14:val="60000"/>
                          </w14:srgbClr>
                        </w14:shadow>
                        <w14:textFill>
                          <w14:solidFill>
                            <w14:srgbClr w14:val="FFFFFF"/>
                          </w14:solidFill>
                        </w14:textFill>
                      </w:rPr>
                      <w:t>:</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Atty. Assoc. Prof. Ümit KOCASAKAL</w:t>
                    </w:r>
                  </w:p>
                  <w:p w:rsidR="002925B6" w:rsidRPr="002925B6" w:rsidRDefault="002925B6" w:rsidP="002925B6">
                    <w:pPr>
                      <w:jc w:val="right"/>
                      <w:rPr>
                        <w:rFonts w:ascii="Verdana" w:hAnsi="Verdana"/>
                        <w:i/>
                        <w:color w:val="FFFFFF" w:themeColor="background1"/>
                        <w:sz w:val="26"/>
                        <w:szCs w:val="26"/>
                        <w:lang w:val="en-US"/>
                      </w:rPr>
                    </w:pPr>
                    <w:r w:rsidRPr="002925B6">
                      <w:rPr>
                        <w:rFonts w:ascii="Verdana" w:hAnsi="Verdana"/>
                        <w:i/>
                        <w:color w:val="FFFFFF" w:themeColor="background1"/>
                        <w:sz w:val="26"/>
                        <w:szCs w:val="26"/>
                        <w:lang w:val="en-US"/>
                      </w:rPr>
                      <w:t>President of Istanbul Bar Association</w:t>
                    </w:r>
                  </w:p>
                  <w:p w:rsidR="00356F8A" w:rsidRPr="002925B6" w:rsidRDefault="00356F8A">
                    <w:pPr>
                      <w:rPr>
                        <w:color w:val="FFFFFF" w:themeColor="background1"/>
                        <w:lang w:val="en-GB"/>
                      </w:rPr>
                    </w:pPr>
                  </w:p>
                </w:txbxContent>
              </v:textbox>
              <w10:wrap type="square"/>
            </v:shape>
          </w:pict>
        </mc:Fallback>
      </mc:AlternateContent>
    </w:r>
    <w:r w:rsidR="006E1F23">
      <w:rPr>
        <w:noProof/>
        <w:lang w:val="cs-CZ" w:eastAsia="cs-CZ"/>
      </w:rPr>
      <w:drawing>
        <wp:anchor distT="0" distB="0" distL="114300" distR="114300" simplePos="0" relativeHeight="251656192" behindDoc="1" locked="0" layoutInCell="1" allowOverlap="1" wp14:anchorId="0C452EFE" wp14:editId="55286F1C">
          <wp:simplePos x="0" y="0"/>
          <wp:positionH relativeFrom="column">
            <wp:posOffset>-900430</wp:posOffset>
          </wp:positionH>
          <wp:positionV relativeFrom="paragraph">
            <wp:posOffset>38100</wp:posOffset>
          </wp:positionV>
          <wp:extent cx="7654925" cy="838200"/>
          <wp:effectExtent l="0" t="0" r="3175" b="0"/>
          <wp:wrapTight wrapText="bothSides">
            <wp:wrapPolygon edited="0">
              <wp:start x="0" y="0"/>
              <wp:lineTo x="0" y="21109"/>
              <wp:lineTo x="21555" y="21109"/>
              <wp:lineTo x="215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4925" cy="838200"/>
                  </a:xfrm>
                  <a:prstGeom prst="rect">
                    <a:avLst/>
                  </a:prstGeom>
                  <a:noFill/>
                  <a:effectLst/>
                </pic:spPr>
              </pic:pic>
            </a:graphicData>
          </a:graphic>
          <wp14:sizeRelH relativeFrom="page">
            <wp14:pctWidth>0</wp14:pctWidth>
          </wp14:sizeRelH>
          <wp14:sizeRelV relativeFrom="page">
            <wp14:pctHeight>0</wp14:pctHeight>
          </wp14:sizeRelV>
        </wp:anchor>
      </w:drawing>
    </w:r>
  </w:p>
  <w:p w:rsidR="00CD43A8" w:rsidRDefault="00356F8A" w:rsidP="00CD43A8">
    <w:pPr>
      <w:tabs>
        <w:tab w:val="center" w:pos="-142"/>
      </w:tabs>
      <w:ind w:left="-1134"/>
      <w:rPr>
        <w:rFonts w:ascii="Century Gothic" w:hAnsi="Century Gothic"/>
        <w:color w:val="000080"/>
        <w:sz w:val="12"/>
      </w:rPr>
    </w:pPr>
    <w:r>
      <w:rPr>
        <w:rFonts w:ascii="Century Gothic" w:hAnsi="Century Gothic"/>
        <w:color w:val="000080"/>
        <w:sz w:val="12"/>
      </w:rPr>
      <w:tab/>
    </w:r>
  </w:p>
  <w:p w:rsidR="00356F8A" w:rsidRDefault="00356F8A">
    <w:pPr>
      <w:tabs>
        <w:tab w:val="center" w:pos="-142"/>
      </w:tabs>
      <w:ind w:left="-1134"/>
      <w:rPr>
        <w:rFonts w:ascii="Century Gothic" w:hAnsi="Century Gothic"/>
        <w:color w:val="000080"/>
        <w:sz w:val="12"/>
      </w:rPr>
    </w:pPr>
  </w:p>
  <w:p w:rsidR="00356F8A" w:rsidRDefault="00356F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06A"/>
    <w:multiLevelType w:val="hybridMultilevel"/>
    <w:tmpl w:val="6B1C7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4855B8C"/>
    <w:multiLevelType w:val="hybridMultilevel"/>
    <w:tmpl w:val="8A3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6434D"/>
    <w:multiLevelType w:val="hybridMultilevel"/>
    <w:tmpl w:val="46941B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4E"/>
    <w:rsid w:val="00051C8B"/>
    <w:rsid w:val="00094437"/>
    <w:rsid w:val="000A29F0"/>
    <w:rsid w:val="000E4ED0"/>
    <w:rsid w:val="000F71A6"/>
    <w:rsid w:val="00142576"/>
    <w:rsid w:val="001A3EF3"/>
    <w:rsid w:val="001A7453"/>
    <w:rsid w:val="001F1E06"/>
    <w:rsid w:val="00200D27"/>
    <w:rsid w:val="00202444"/>
    <w:rsid w:val="00214D26"/>
    <w:rsid w:val="00231962"/>
    <w:rsid w:val="0024152D"/>
    <w:rsid w:val="00272425"/>
    <w:rsid w:val="002925B6"/>
    <w:rsid w:val="002C3F0F"/>
    <w:rsid w:val="0030554D"/>
    <w:rsid w:val="00315C4E"/>
    <w:rsid w:val="003402D9"/>
    <w:rsid w:val="00343071"/>
    <w:rsid w:val="00347FE3"/>
    <w:rsid w:val="00356F8A"/>
    <w:rsid w:val="00383EF5"/>
    <w:rsid w:val="00387F5B"/>
    <w:rsid w:val="003A2428"/>
    <w:rsid w:val="003A60B2"/>
    <w:rsid w:val="003B7FAF"/>
    <w:rsid w:val="003C2CF1"/>
    <w:rsid w:val="003C34AD"/>
    <w:rsid w:val="003C59DA"/>
    <w:rsid w:val="00403546"/>
    <w:rsid w:val="00416249"/>
    <w:rsid w:val="00416DCB"/>
    <w:rsid w:val="00422351"/>
    <w:rsid w:val="00475E8A"/>
    <w:rsid w:val="00497DCE"/>
    <w:rsid w:val="004C15DC"/>
    <w:rsid w:val="004C3AB4"/>
    <w:rsid w:val="004F3462"/>
    <w:rsid w:val="0052462A"/>
    <w:rsid w:val="005261C7"/>
    <w:rsid w:val="005B2CC3"/>
    <w:rsid w:val="005C41C8"/>
    <w:rsid w:val="005D01CF"/>
    <w:rsid w:val="005D629C"/>
    <w:rsid w:val="005D652A"/>
    <w:rsid w:val="005D7160"/>
    <w:rsid w:val="00671ED8"/>
    <w:rsid w:val="00682898"/>
    <w:rsid w:val="00693BF0"/>
    <w:rsid w:val="006A1485"/>
    <w:rsid w:val="006B2AB2"/>
    <w:rsid w:val="006D1492"/>
    <w:rsid w:val="006E1F23"/>
    <w:rsid w:val="00711CF0"/>
    <w:rsid w:val="007513B2"/>
    <w:rsid w:val="00766DD1"/>
    <w:rsid w:val="007B1A44"/>
    <w:rsid w:val="007F4821"/>
    <w:rsid w:val="00803D82"/>
    <w:rsid w:val="00871460"/>
    <w:rsid w:val="0089746E"/>
    <w:rsid w:val="008A6193"/>
    <w:rsid w:val="009375B3"/>
    <w:rsid w:val="00943C35"/>
    <w:rsid w:val="00970167"/>
    <w:rsid w:val="00985422"/>
    <w:rsid w:val="009854F1"/>
    <w:rsid w:val="00995A5A"/>
    <w:rsid w:val="009A70E9"/>
    <w:rsid w:val="009B532C"/>
    <w:rsid w:val="009D66D9"/>
    <w:rsid w:val="009F6F5D"/>
    <w:rsid w:val="00A21EB1"/>
    <w:rsid w:val="00A3181E"/>
    <w:rsid w:val="00A42EED"/>
    <w:rsid w:val="00A71D38"/>
    <w:rsid w:val="00AF1643"/>
    <w:rsid w:val="00B21375"/>
    <w:rsid w:val="00B262E6"/>
    <w:rsid w:val="00B640B6"/>
    <w:rsid w:val="00B67002"/>
    <w:rsid w:val="00B83840"/>
    <w:rsid w:val="00BC665B"/>
    <w:rsid w:val="00BE226A"/>
    <w:rsid w:val="00BF228A"/>
    <w:rsid w:val="00C16ADA"/>
    <w:rsid w:val="00C67D4A"/>
    <w:rsid w:val="00CB3C60"/>
    <w:rsid w:val="00CC2DC6"/>
    <w:rsid w:val="00CD43A8"/>
    <w:rsid w:val="00D0580A"/>
    <w:rsid w:val="00D10446"/>
    <w:rsid w:val="00D41140"/>
    <w:rsid w:val="00D62C7D"/>
    <w:rsid w:val="00D819AA"/>
    <w:rsid w:val="00D87A96"/>
    <w:rsid w:val="00DE0F64"/>
    <w:rsid w:val="00DE6B7A"/>
    <w:rsid w:val="00E20C39"/>
    <w:rsid w:val="00E27B65"/>
    <w:rsid w:val="00E305E9"/>
    <w:rsid w:val="00E37DC4"/>
    <w:rsid w:val="00E506F2"/>
    <w:rsid w:val="00E72821"/>
    <w:rsid w:val="00E97E4E"/>
    <w:rsid w:val="00F81856"/>
    <w:rsid w:val="00FA2324"/>
    <w:rsid w:val="00FA6C56"/>
    <w:rsid w:val="00FC72F2"/>
    <w:rsid w:val="00FD69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fr-FR"/>
    </w:rPr>
  </w:style>
  <w:style w:type="paragraph" w:styleId="Nadpis1">
    <w:name w:val="heading 1"/>
    <w:basedOn w:val="Normln"/>
    <w:next w:val="Normln"/>
    <w:qFormat/>
    <w:pPr>
      <w:keepNext/>
      <w:jc w:val="right"/>
      <w:outlineLvl w:val="0"/>
    </w:pPr>
    <w:rPr>
      <w:rFonts w:ascii="Century Gothic" w:hAnsi="Century Gothic"/>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pPr>
      <w:jc w:val="center"/>
    </w:pPr>
    <w:rPr>
      <w:b/>
      <w:bCs/>
      <w:sz w:val="24"/>
      <w:szCs w:val="24"/>
      <w:u w:val="single"/>
      <w:lang w:val="fr-BE"/>
    </w:rPr>
  </w:style>
  <w:style w:type="paragraph" w:styleId="Textbubliny">
    <w:name w:val="Balloon Text"/>
    <w:basedOn w:val="Normln"/>
    <w:link w:val="TextbublinyChar"/>
    <w:rsid w:val="000F71A6"/>
    <w:rPr>
      <w:rFonts w:ascii="Tahoma" w:hAnsi="Tahoma" w:cs="Tahoma"/>
      <w:sz w:val="16"/>
      <w:szCs w:val="16"/>
    </w:rPr>
  </w:style>
  <w:style w:type="character" w:customStyle="1" w:styleId="TextbublinyChar">
    <w:name w:val="Text bubliny Char"/>
    <w:link w:val="Textbubliny"/>
    <w:rsid w:val="000F71A6"/>
    <w:rPr>
      <w:rFonts w:ascii="Tahoma" w:hAnsi="Tahoma" w:cs="Tahoma"/>
      <w:sz w:val="16"/>
      <w:szCs w:val="16"/>
      <w:lang w:eastAsia="fr-BE"/>
    </w:rPr>
  </w:style>
  <w:style w:type="character" w:customStyle="1" w:styleId="apple-converted-space">
    <w:name w:val="apple-converted-space"/>
    <w:rsid w:val="00693BF0"/>
  </w:style>
  <w:style w:type="character" w:styleId="Siln">
    <w:name w:val="Strong"/>
    <w:uiPriority w:val="22"/>
    <w:qFormat/>
    <w:rsid w:val="00693BF0"/>
    <w:rPr>
      <w:b/>
      <w:bCs/>
    </w:rPr>
  </w:style>
  <w:style w:type="table" w:styleId="Mkatabulky">
    <w:name w:val="Table Grid"/>
    <w:basedOn w:val="Normlntabulka"/>
    <w:rsid w:val="00F8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A3EF3"/>
    <w:pPr>
      <w:ind w:left="720"/>
      <w:contextualSpacing/>
    </w:pPr>
  </w:style>
  <w:style w:type="character" w:customStyle="1" w:styleId="ZpatChar">
    <w:name w:val="Zápatí Char"/>
    <w:basedOn w:val="Standardnpsmoodstavce"/>
    <w:link w:val="Zpat"/>
    <w:uiPriority w:val="99"/>
    <w:rsid w:val="005B2CC3"/>
    <w:rPr>
      <w:lang w:val="fr-FR"/>
    </w:rPr>
  </w:style>
  <w:style w:type="character" w:styleId="Odkaznakoment">
    <w:name w:val="annotation reference"/>
    <w:basedOn w:val="Standardnpsmoodstavce"/>
    <w:uiPriority w:val="99"/>
    <w:unhideWhenUsed/>
    <w:rsid w:val="007F48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fr-FR"/>
    </w:rPr>
  </w:style>
  <w:style w:type="paragraph" w:styleId="Nadpis1">
    <w:name w:val="heading 1"/>
    <w:basedOn w:val="Normln"/>
    <w:next w:val="Normln"/>
    <w:qFormat/>
    <w:pPr>
      <w:keepNext/>
      <w:jc w:val="right"/>
      <w:outlineLvl w:val="0"/>
    </w:pPr>
    <w:rPr>
      <w:rFonts w:ascii="Century Gothic" w:hAnsi="Century Gothic"/>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pPr>
      <w:jc w:val="center"/>
    </w:pPr>
    <w:rPr>
      <w:b/>
      <w:bCs/>
      <w:sz w:val="24"/>
      <w:szCs w:val="24"/>
      <w:u w:val="single"/>
      <w:lang w:val="fr-BE"/>
    </w:rPr>
  </w:style>
  <w:style w:type="paragraph" w:styleId="Textbubliny">
    <w:name w:val="Balloon Text"/>
    <w:basedOn w:val="Normln"/>
    <w:link w:val="TextbublinyChar"/>
    <w:rsid w:val="000F71A6"/>
    <w:rPr>
      <w:rFonts w:ascii="Tahoma" w:hAnsi="Tahoma" w:cs="Tahoma"/>
      <w:sz w:val="16"/>
      <w:szCs w:val="16"/>
    </w:rPr>
  </w:style>
  <w:style w:type="character" w:customStyle="1" w:styleId="TextbublinyChar">
    <w:name w:val="Text bubliny Char"/>
    <w:link w:val="Textbubliny"/>
    <w:rsid w:val="000F71A6"/>
    <w:rPr>
      <w:rFonts w:ascii="Tahoma" w:hAnsi="Tahoma" w:cs="Tahoma"/>
      <w:sz w:val="16"/>
      <w:szCs w:val="16"/>
      <w:lang w:eastAsia="fr-BE"/>
    </w:rPr>
  </w:style>
  <w:style w:type="character" w:customStyle="1" w:styleId="apple-converted-space">
    <w:name w:val="apple-converted-space"/>
    <w:rsid w:val="00693BF0"/>
  </w:style>
  <w:style w:type="character" w:styleId="Siln">
    <w:name w:val="Strong"/>
    <w:uiPriority w:val="22"/>
    <w:qFormat/>
    <w:rsid w:val="00693BF0"/>
    <w:rPr>
      <w:b/>
      <w:bCs/>
    </w:rPr>
  </w:style>
  <w:style w:type="table" w:styleId="Mkatabulky">
    <w:name w:val="Table Grid"/>
    <w:basedOn w:val="Normlntabulka"/>
    <w:rsid w:val="00F8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A3EF3"/>
    <w:pPr>
      <w:ind w:left="720"/>
      <w:contextualSpacing/>
    </w:pPr>
  </w:style>
  <w:style w:type="character" w:customStyle="1" w:styleId="ZpatChar">
    <w:name w:val="Zápatí Char"/>
    <w:basedOn w:val="Standardnpsmoodstavce"/>
    <w:link w:val="Zpat"/>
    <w:uiPriority w:val="99"/>
    <w:rsid w:val="005B2CC3"/>
    <w:rPr>
      <w:lang w:val="fr-FR"/>
    </w:rPr>
  </w:style>
  <w:style w:type="character" w:styleId="Odkaznakoment">
    <w:name w:val="annotation reference"/>
    <w:basedOn w:val="Standardnpsmoodstavce"/>
    <w:uiPriority w:val="99"/>
    <w:unhideWhenUsed/>
    <w:rsid w:val="007F48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2180">
      <w:bodyDiv w:val="1"/>
      <w:marLeft w:val="0"/>
      <w:marRight w:val="0"/>
      <w:marTop w:val="0"/>
      <w:marBottom w:val="0"/>
      <w:divBdr>
        <w:top w:val="none" w:sz="0" w:space="0" w:color="auto"/>
        <w:left w:val="none" w:sz="0" w:space="0" w:color="auto"/>
        <w:bottom w:val="none" w:sz="0" w:space="0" w:color="auto"/>
        <w:right w:val="none" w:sz="0" w:space="0" w:color="auto"/>
      </w:divBdr>
    </w:div>
    <w:div w:id="20320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dawn\Documents\www.ccbe.eu" TargetMode="External"/><Relationship Id="rId1" Type="http://schemas.openxmlformats.org/officeDocument/2006/relationships/hyperlink" Target="file:///C:\Users\dawn\Documents\www.ccb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file:///C:\Users\dawn\Documents\www.ccbe.eu" TargetMode="External"/><Relationship Id="rId1" Type="http://schemas.openxmlformats.org/officeDocument/2006/relationships/hyperlink" Target="file:///C:\Users\dawn\Documents\www.ccbe.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DEAD-DB15-4CCA-B0BD-6E4D522A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65</Characters>
  <Application>Microsoft Office Word</Application>
  <DocSecurity>4</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CCBE</Company>
  <LinksUpToDate>false</LinksUpToDate>
  <CharactersWithSpaces>75</CharactersWithSpaces>
  <SharedDoc>false</SharedDoc>
  <HLinks>
    <vt:vector size="18" baseType="variant">
      <vt:variant>
        <vt:i4>1441793</vt:i4>
      </vt:variant>
      <vt:variant>
        <vt:i4>3</vt:i4>
      </vt:variant>
      <vt:variant>
        <vt:i4>0</vt:i4>
      </vt:variant>
      <vt:variant>
        <vt:i4>5</vt:i4>
      </vt:variant>
      <vt:variant>
        <vt:lpwstr>http://twitter.com/</vt:lpwstr>
      </vt:variant>
      <vt:variant>
        <vt:lpwstr>!/CCBEinfo</vt:lpwstr>
      </vt:variant>
      <vt:variant>
        <vt:i4>5439592</vt:i4>
      </vt:variant>
      <vt:variant>
        <vt:i4>0</vt:i4>
      </vt:variant>
      <vt:variant>
        <vt:i4>0</vt:i4>
      </vt:variant>
      <vt:variant>
        <vt:i4>5</vt:i4>
      </vt:variant>
      <vt:variant>
        <vt:lpwstr>mailto:roebroeck@ccbe.eu</vt:lpwstr>
      </vt:variant>
      <vt:variant>
        <vt:lpwstr/>
      </vt:variant>
      <vt:variant>
        <vt:i4>7405619</vt:i4>
      </vt:variant>
      <vt:variant>
        <vt:i4>0</vt:i4>
      </vt:variant>
      <vt:variant>
        <vt:i4>0</vt:i4>
      </vt:variant>
      <vt:variant>
        <vt:i4>5</vt:i4>
      </vt:variant>
      <vt:variant>
        <vt:lpwstr>http://www.ccbe.eu/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Testaert</dc:creator>
  <cp:lastModifiedBy>Kateřina Lindner</cp:lastModifiedBy>
  <cp:revision>2</cp:revision>
  <cp:lastPrinted>2013-08-08T15:17:00Z</cp:lastPrinted>
  <dcterms:created xsi:type="dcterms:W3CDTF">2014-01-08T13:10:00Z</dcterms:created>
  <dcterms:modified xsi:type="dcterms:W3CDTF">2014-01-08T13:10:00Z</dcterms:modified>
</cp:coreProperties>
</file>