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8D" w:rsidRDefault="00D0258D" w:rsidP="00D0258D">
      <w:pPr>
        <w:pStyle w:val="Normlnweb"/>
        <w:jc w:val="both"/>
      </w:pPr>
      <w:bookmarkStart w:id="0" w:name="_GoBack"/>
      <w:r>
        <w:rPr>
          <w:rStyle w:val="Siln"/>
          <w:i/>
          <w:iCs/>
        </w:rPr>
        <w:t>CELIKKAYA proti Turecku</w:t>
      </w:r>
      <w:r>
        <w:rPr>
          <w:rStyle w:val="Siln"/>
        </w:rPr>
        <w:t xml:space="preserve"> </w:t>
      </w:r>
    </w:p>
    <w:bookmarkEnd w:id="0"/>
    <w:p w:rsidR="00D0258D" w:rsidRDefault="00D0258D" w:rsidP="00D0258D">
      <w:pPr>
        <w:pStyle w:val="Normlnweb"/>
        <w:jc w:val="both"/>
      </w:pPr>
      <w:r>
        <w:t xml:space="preserve">Rozhodnutí o nepřijatelnosti z 1. června 2010  </w:t>
      </w:r>
    </w:p>
    <w:p w:rsidR="00D0258D" w:rsidRDefault="00D0258D" w:rsidP="00D0258D">
      <w:pPr>
        <w:pStyle w:val="Normlnweb"/>
        <w:jc w:val="both"/>
      </w:pPr>
      <w:r>
        <w:rPr>
          <w:b/>
          <w:bCs/>
        </w:rPr>
        <w:t xml:space="preserve">Odmítnutí předčasně propustit odsouzeného z výkonu trestu odnětí svobody. </w:t>
      </w:r>
      <w:r>
        <w:t xml:space="preserve">Stěžovatel byl v minulosti několikrát soudně trestán. V letech 1987 a1996 bylo rozhodnuto, že své tresty v celkové délce 190 let z toho 87 let nepodmíněně vykoná zároveň s tím, že se jako strop vezme nejdelší trest. Jako několikanásobný recidivista byl ponechán ve vězení i po přijetí zákona o amnestii. </w:t>
      </w:r>
    </w:p>
    <w:p w:rsidR="00D0258D" w:rsidRDefault="00D0258D" w:rsidP="00D0258D">
      <w:pPr>
        <w:pStyle w:val="Normlnweb"/>
        <w:jc w:val="both"/>
      </w:pPr>
      <w:r>
        <w:t xml:space="preserve">Soud judikoval, že článek 5 odst. 1 a) Úmluvy nezaručuje jako takové právo odsouzeného mít prospěch ze zákona o amnestii či být předčasně či podmíněně propuštěn na svobodu. Skutečnost, že dotčené soudy </w:t>
      </w:r>
      <w:proofErr w:type="gramStart"/>
      <w:r>
        <w:t>souhlasily</w:t>
      </w:r>
      <w:proofErr w:type="gramEnd"/>
      <w:r>
        <w:t xml:space="preserve"> s názorem státního zástupce </w:t>
      </w:r>
      <w:proofErr w:type="gramStart"/>
      <w:r>
        <w:t>neznamená</w:t>
      </w:r>
      <w:proofErr w:type="gramEnd"/>
      <w:r>
        <w:t xml:space="preserve">, že byl stěžovatel vězněn nezákonně. Jejich úkolem bylo především interpretovat vnitrostátní právo. Soud s jejich výpočtem, jak dlouho stěžovatel má zůstat ve vězení, souhlasil, když šlo o výpočet jasný a konsistentní z hlediska vnitrostátní judikatury. Pokud šlo o údajnou diskriminační povahu zákona o amnestii, bylo obtížné najít jakoukoli faktickou okolnost, která by zásadně rozlišovala mezi dvěma amnestovanými vězni. Soud nebyl proto přesvědčen, že šlo o diskriminaci. Nemohl však dále o tomto problému spekulovat, neboť podle tureckého práva o výkonu trestu odnětí svobody, opatření či pochybení, i když jsou ve prospěch vězně, nejsou právním nárokem a mohou být vnitrostátními orgány kdykoli měněny. Proto situace dvou vězňů se netýká výkonu nabytých práv ve smyslu článku 5 odst. 1 a) Úmluvy, a proto postrádají jakoukoli srovnávací hodnotu ve vztahu ke stěžovatelově situaci. Pokud zde tedy byla jakákoli nerovnost, bylo zřejmé, že jde o nerovnost, která nespadala pod ustanovení článku 14 Úmluvy. </w:t>
      </w:r>
    </w:p>
    <w:p w:rsidR="007864C0" w:rsidRPr="00D0258D" w:rsidRDefault="007864C0" w:rsidP="00D0258D"/>
    <w:sectPr w:rsidR="007864C0" w:rsidRPr="00D0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58"/>
    <w:rsid w:val="001D2746"/>
    <w:rsid w:val="001E773C"/>
    <w:rsid w:val="00330358"/>
    <w:rsid w:val="00611AC0"/>
    <w:rsid w:val="0067638A"/>
    <w:rsid w:val="007068A8"/>
    <w:rsid w:val="007864C0"/>
    <w:rsid w:val="00950272"/>
    <w:rsid w:val="00AA7ED3"/>
    <w:rsid w:val="00D0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A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03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A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0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6C04-8848-4E25-9A36-EC5E13D8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2015-05-14T09:34:00Z</dcterms:created>
  <dcterms:modified xsi:type="dcterms:W3CDTF">2015-05-14T09:34:00Z</dcterms:modified>
</cp:coreProperties>
</file>