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AC6" w:rsidRDefault="004F3AC6" w:rsidP="004F3AC6">
      <w:pPr>
        <w:pStyle w:val="Normlnweb"/>
      </w:pPr>
      <w:bookmarkStart w:id="0" w:name="_GoBack"/>
      <w:r>
        <w:rPr>
          <w:rStyle w:val="Siln"/>
          <w:i/>
          <w:iCs/>
        </w:rPr>
        <w:t>BLOKHON proti Rusku</w:t>
      </w:r>
      <w:r>
        <w:t xml:space="preserve"> </w:t>
      </w:r>
    </w:p>
    <w:bookmarkEnd w:id="0"/>
    <w:p w:rsidR="004F3AC6" w:rsidRDefault="004F3AC6" w:rsidP="004F3AC6">
      <w:pPr>
        <w:pStyle w:val="Normlnweb"/>
      </w:pPr>
      <w:r>
        <w:t xml:space="preserve">Rozsudek ze 14. listopadu 2013 </w:t>
      </w:r>
    </w:p>
    <w:p w:rsidR="004F3AC6" w:rsidRDefault="004F3AC6" w:rsidP="004F3AC6">
      <w:pPr>
        <w:pStyle w:val="Normlnweb"/>
      </w:pPr>
      <w:r>
        <w:rPr>
          <w:rStyle w:val="Siln"/>
        </w:rPr>
        <w:t>Třídenní umístění nezletilého v detenčním středisku pro mladistvé za účelem „nápravy jeho chování“</w:t>
      </w:r>
      <w:r>
        <w:t xml:space="preserve"> </w:t>
      </w:r>
    </w:p>
    <w:p w:rsidR="004F3AC6" w:rsidRDefault="004F3AC6" w:rsidP="004F3AC6">
      <w:pPr>
        <w:pStyle w:val="Normlnweb"/>
        <w:jc w:val="both"/>
      </w:pPr>
      <w:r>
        <w:t xml:space="preserve">Stěžovatel, kterému bylo v dané době dvacet let, a trpěl hyperaktivitou, byl zatčen za zpronevěru peněz od devítiletého chlapce. Na základě jeho přiznání, výpovědi údajného poškozeného, došly úřady k závěru, že se dopustil trestného činu ve smyslu trestního zákona. Vzhledem k tomu, že stěžovatel byl podle vnitrostátního práva mladistvý, nebylo proti němu zahájeno trestní řízení. Místo toho byl umístěn do dočasného detenčního střediska pro mladistvé delikventy, a to na dobu třiceti dnů za účelem „nápravy jeho chování“ a zabránění tomu, aby pokračoval v trestné činnosti. Stěžovatel tvrdil, že se jeho zdravotní stav během jeho pobytu v detenčním středisku zhoršil a že mu nebyla poskytnuta řádná zdravotní péče. </w:t>
      </w:r>
    </w:p>
    <w:p w:rsidR="004F3AC6" w:rsidRDefault="004F3AC6" w:rsidP="004F3AC6">
      <w:pPr>
        <w:pStyle w:val="Normlnweb"/>
        <w:jc w:val="both"/>
      </w:pPr>
      <w:r>
        <w:t xml:space="preserve">ESLP nepřijal tvrzení vlády, že účelem stěžovatelovy detence byl výchovný dohled ve smyslu článku 5 odst. 1 d) Úmluvy. I když toto ustanovení nezakazuje dočasné umístění nezletilého do výchovného zařízení, musí skutečně takový výchovný účel sledovat. V daném případě však stěžovatel nebyl podroben řádnému a systematickému dohledu. ESLP podtrhl, že vnitrostátní soudy potvrdily, že hlavním důvodem zbavení svobody stěžovatele bylo zabránění mu v pokračování v trestné činnosti, avšak vláda neuvedla žádný konkrétní trestný čin, který by stěžovatel mohl spáchat. Obecný důvod předcházení trestné činnosti jako důvod jeho detence pro účely článku 5 Úmluvy podle názoru ESLP nestačil. </w:t>
      </w:r>
    </w:p>
    <w:p w:rsidR="00C57B43" w:rsidRPr="004F3AC6" w:rsidRDefault="004F3AC6" w:rsidP="004F3AC6">
      <w:pPr>
        <w:pStyle w:val="Normlnweb"/>
      </w:pPr>
      <w:r>
        <w:t xml:space="preserve">Konstatoval proto, že tak došlo k porušení tohoto ustanovení. </w:t>
      </w:r>
    </w:p>
    <w:sectPr w:rsidR="00C57B43" w:rsidRPr="004F3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A9E"/>
    <w:rsid w:val="004F3AC6"/>
    <w:rsid w:val="00805A9E"/>
    <w:rsid w:val="00C5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05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805A9E"/>
    <w:rPr>
      <w:i/>
      <w:iCs/>
    </w:rPr>
  </w:style>
  <w:style w:type="character" w:styleId="Siln">
    <w:name w:val="Strong"/>
    <w:basedOn w:val="Standardnpsmoodstavce"/>
    <w:uiPriority w:val="22"/>
    <w:qFormat/>
    <w:rsid w:val="004F3A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05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805A9E"/>
    <w:rPr>
      <w:i/>
      <w:iCs/>
    </w:rPr>
  </w:style>
  <w:style w:type="character" w:styleId="Siln">
    <w:name w:val="Strong"/>
    <w:basedOn w:val="Standardnpsmoodstavce"/>
    <w:uiPriority w:val="22"/>
    <w:qFormat/>
    <w:rsid w:val="004F3A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8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Lindner</dc:creator>
  <cp:lastModifiedBy>Kateřina Lindner</cp:lastModifiedBy>
  <cp:revision>2</cp:revision>
  <dcterms:created xsi:type="dcterms:W3CDTF">2015-03-13T13:20:00Z</dcterms:created>
  <dcterms:modified xsi:type="dcterms:W3CDTF">2015-03-13T13:20:00Z</dcterms:modified>
</cp:coreProperties>
</file>