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19" w:rsidRPr="00A416BF" w:rsidRDefault="009B6D19" w:rsidP="009B6D19">
      <w:pPr>
        <w:jc w:val="both"/>
        <w:rPr>
          <w:rFonts w:ascii="Arial" w:hAnsi="Arial" w:cs="Arial"/>
          <w:b/>
          <w:sz w:val="22"/>
          <w:szCs w:val="22"/>
        </w:rPr>
      </w:pPr>
      <w:r w:rsidRPr="00A416BF">
        <w:rPr>
          <w:rFonts w:ascii="Arial" w:hAnsi="Arial" w:cs="Arial"/>
          <w:b/>
          <w:sz w:val="22"/>
          <w:szCs w:val="22"/>
        </w:rPr>
        <w:t xml:space="preserve">MIMOSOUDNÍ ŘEŠENÍ SPOTŘEBITELSKÝCH SPORŮ </w:t>
      </w:r>
    </w:p>
    <w:p w:rsidR="009B6D19" w:rsidRPr="00A416BF" w:rsidRDefault="009B6D19" w:rsidP="009B6D19">
      <w:pPr>
        <w:jc w:val="both"/>
        <w:rPr>
          <w:rFonts w:ascii="Arial" w:hAnsi="Arial" w:cs="Arial"/>
          <w:b/>
          <w:sz w:val="22"/>
          <w:szCs w:val="22"/>
        </w:rPr>
      </w:pPr>
    </w:p>
    <w:p w:rsidR="009B6D19" w:rsidRDefault="009B6D19" w:rsidP="009B6D19">
      <w:pPr>
        <w:jc w:val="both"/>
        <w:rPr>
          <w:rFonts w:ascii="Arial" w:hAnsi="Arial" w:cs="Arial"/>
          <w:b/>
          <w:sz w:val="22"/>
          <w:szCs w:val="22"/>
        </w:rPr>
      </w:pPr>
      <w:r w:rsidRPr="00A416BF">
        <w:rPr>
          <w:rFonts w:ascii="Arial" w:hAnsi="Arial" w:cs="Arial"/>
          <w:b/>
          <w:sz w:val="22"/>
          <w:szCs w:val="22"/>
        </w:rPr>
        <w:t>VE VZTAHU K PROFESNÍMU POJIŠTĚNÍ ADVOKÁTŮ</w:t>
      </w:r>
    </w:p>
    <w:p w:rsidR="009B6D19" w:rsidRPr="00A416BF" w:rsidRDefault="009B6D19" w:rsidP="009B6D19">
      <w:pPr>
        <w:jc w:val="both"/>
        <w:rPr>
          <w:rFonts w:ascii="Arial" w:hAnsi="Arial" w:cs="Arial"/>
          <w:b/>
          <w:sz w:val="22"/>
          <w:szCs w:val="22"/>
        </w:rPr>
      </w:pPr>
    </w:p>
    <w:p w:rsidR="009B6D19" w:rsidRDefault="009B6D19" w:rsidP="009B6D19">
      <w:pPr>
        <w:jc w:val="both"/>
        <w:rPr>
          <w:rFonts w:ascii="Arial" w:hAnsi="Arial" w:cs="Arial"/>
          <w:sz w:val="22"/>
          <w:szCs w:val="22"/>
        </w:rPr>
      </w:pPr>
    </w:p>
    <w:p w:rsidR="009B6D19" w:rsidRPr="00BD6B71" w:rsidRDefault="009B6D19" w:rsidP="009B6D19">
      <w:pPr>
        <w:jc w:val="both"/>
        <w:rPr>
          <w:rFonts w:ascii="Arial" w:hAnsi="Arial" w:cs="Arial"/>
          <w:sz w:val="22"/>
          <w:szCs w:val="22"/>
        </w:rPr>
      </w:pPr>
      <w:r w:rsidRPr="00BD6B71">
        <w:rPr>
          <w:rFonts w:ascii="Arial" w:hAnsi="Arial" w:cs="Arial"/>
          <w:sz w:val="22"/>
          <w:szCs w:val="22"/>
        </w:rPr>
        <w:t xml:space="preserve">Mimosoudní řešení spotřebitelských sporů </w:t>
      </w:r>
      <w:r w:rsidRPr="0046435F">
        <w:rPr>
          <w:rFonts w:ascii="Arial" w:hAnsi="Arial" w:cs="Arial"/>
          <w:sz w:val="22"/>
          <w:szCs w:val="22"/>
        </w:rPr>
        <w:t>před</w:t>
      </w:r>
      <w:r>
        <w:rPr>
          <w:rFonts w:ascii="Arial" w:hAnsi="Arial" w:cs="Arial"/>
          <w:sz w:val="22"/>
          <w:szCs w:val="22"/>
        </w:rPr>
        <w:t xml:space="preserve"> Českou advokátní komorou </w:t>
      </w:r>
      <w:r w:rsidRPr="00BD6B71">
        <w:rPr>
          <w:rFonts w:ascii="Arial" w:hAnsi="Arial" w:cs="Arial"/>
          <w:sz w:val="22"/>
          <w:szCs w:val="22"/>
        </w:rPr>
        <w:t xml:space="preserve">se uplatní mimo jiné </w:t>
      </w:r>
      <w:r>
        <w:rPr>
          <w:rFonts w:ascii="Arial" w:hAnsi="Arial" w:cs="Arial"/>
          <w:sz w:val="22"/>
          <w:szCs w:val="22"/>
        </w:rPr>
        <w:t xml:space="preserve">také </w:t>
      </w:r>
      <w:r w:rsidRPr="00BD6B71">
        <w:rPr>
          <w:rFonts w:ascii="Arial" w:hAnsi="Arial" w:cs="Arial"/>
          <w:sz w:val="22"/>
          <w:szCs w:val="22"/>
        </w:rPr>
        <w:t xml:space="preserve">na spory mezi advokáty a spotřebiteli o náhradu škody </w:t>
      </w:r>
      <w:r>
        <w:rPr>
          <w:rFonts w:ascii="Arial" w:hAnsi="Arial" w:cs="Arial"/>
          <w:sz w:val="22"/>
          <w:szCs w:val="22"/>
        </w:rPr>
        <w:t xml:space="preserve">nebo újmy </w:t>
      </w:r>
      <w:r w:rsidRPr="00BD6B71">
        <w:rPr>
          <w:rFonts w:ascii="Arial" w:hAnsi="Arial" w:cs="Arial"/>
          <w:sz w:val="22"/>
          <w:szCs w:val="22"/>
        </w:rPr>
        <w:t xml:space="preserve">při výkonu advokacie. </w:t>
      </w:r>
    </w:p>
    <w:p w:rsidR="009B6D19" w:rsidRPr="00BD6B71" w:rsidRDefault="009B6D19" w:rsidP="009B6D19">
      <w:pPr>
        <w:jc w:val="both"/>
        <w:rPr>
          <w:rFonts w:ascii="Arial" w:hAnsi="Arial" w:cs="Arial"/>
          <w:sz w:val="22"/>
          <w:szCs w:val="22"/>
        </w:rPr>
      </w:pPr>
    </w:p>
    <w:p w:rsidR="009B6D19" w:rsidRDefault="009B6D19" w:rsidP="009B6D19">
      <w:pPr>
        <w:jc w:val="both"/>
        <w:rPr>
          <w:rFonts w:ascii="Arial" w:hAnsi="Arial" w:cs="Arial"/>
          <w:sz w:val="22"/>
          <w:szCs w:val="22"/>
        </w:rPr>
      </w:pPr>
      <w:r>
        <w:rPr>
          <w:rFonts w:ascii="Arial" w:hAnsi="Arial" w:cs="Arial"/>
          <w:sz w:val="22"/>
          <w:szCs w:val="22"/>
        </w:rPr>
        <w:t xml:space="preserve">Z hlediska pojištění je třeba, aby byl pojistitel o mimosoudním řešení spotřebitelského sporu </w:t>
      </w:r>
      <w:r w:rsidRPr="00462792">
        <w:rPr>
          <w:rFonts w:ascii="Arial" w:hAnsi="Arial" w:cs="Arial"/>
          <w:b/>
          <w:sz w:val="22"/>
          <w:szCs w:val="22"/>
        </w:rPr>
        <w:t>pojištěným</w:t>
      </w:r>
      <w:r>
        <w:rPr>
          <w:rFonts w:ascii="Arial" w:hAnsi="Arial" w:cs="Arial"/>
          <w:sz w:val="22"/>
          <w:szCs w:val="22"/>
        </w:rPr>
        <w:t xml:space="preserve"> včas informován a další postup v tomto řízení byl pojištěným s pojistitelem předem projednán.</w:t>
      </w:r>
    </w:p>
    <w:p w:rsidR="009B6D19" w:rsidRDefault="009B6D19" w:rsidP="009B6D19">
      <w:pPr>
        <w:jc w:val="both"/>
        <w:rPr>
          <w:rFonts w:ascii="Arial" w:hAnsi="Arial" w:cs="Arial"/>
          <w:sz w:val="22"/>
          <w:szCs w:val="22"/>
        </w:rPr>
      </w:pPr>
    </w:p>
    <w:p w:rsidR="009B6D19" w:rsidRDefault="009B6D19" w:rsidP="009B6D19">
      <w:pPr>
        <w:jc w:val="both"/>
        <w:rPr>
          <w:rFonts w:ascii="Arial" w:hAnsi="Arial" w:cs="Arial"/>
          <w:b/>
          <w:sz w:val="22"/>
          <w:szCs w:val="22"/>
        </w:rPr>
      </w:pPr>
    </w:p>
    <w:p w:rsidR="009B6D19" w:rsidRPr="005D094F" w:rsidRDefault="009B6D19" w:rsidP="009B6D19">
      <w:pPr>
        <w:numPr>
          <w:ilvl w:val="0"/>
          <w:numId w:val="12"/>
        </w:numPr>
        <w:jc w:val="both"/>
        <w:rPr>
          <w:rFonts w:ascii="Arial" w:hAnsi="Arial" w:cs="Arial"/>
          <w:b/>
          <w:sz w:val="22"/>
          <w:szCs w:val="22"/>
        </w:rPr>
      </w:pPr>
      <w:r w:rsidRPr="005D094F">
        <w:rPr>
          <w:rFonts w:ascii="Arial" w:hAnsi="Arial" w:cs="Arial"/>
          <w:b/>
          <w:sz w:val="22"/>
          <w:szCs w:val="22"/>
        </w:rPr>
        <w:t>Postup pojištěného ve vztahu k</w:t>
      </w:r>
      <w:r>
        <w:rPr>
          <w:rFonts w:ascii="Arial" w:hAnsi="Arial" w:cs="Arial"/>
          <w:b/>
          <w:sz w:val="22"/>
          <w:szCs w:val="22"/>
        </w:rPr>
        <w:t> oznámení škodné události pojistiteli</w:t>
      </w:r>
    </w:p>
    <w:p w:rsidR="009B6D19"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Podle oddílu E, části II, odst. 5, písm. c) rámcové pojistné smlouvy č. 2904309313 </w:t>
      </w:r>
      <w:r>
        <w:rPr>
          <w:rFonts w:ascii="Arial" w:hAnsi="Arial" w:cs="Arial"/>
          <w:sz w:val="22"/>
          <w:szCs w:val="22"/>
        </w:rPr>
        <w:t xml:space="preserve">                        </w:t>
      </w:r>
      <w:r w:rsidRPr="0046435F">
        <w:rPr>
          <w:rFonts w:ascii="Arial" w:hAnsi="Arial" w:cs="Arial"/>
          <w:sz w:val="22"/>
          <w:szCs w:val="22"/>
        </w:rPr>
        <w:t xml:space="preserve">o profesním pojištění advokátů uzavřené Českou advokátní komorou s Generali Pojišťovna a.s. musí pojištěný neprodleně, bez zbytečného odkladu, po uplatnění náhrady škody nebo újmy ze strany poškozeného, písemně nebo e-mailem informovat pojistitele, a to prostřednictvím společnosti WI-ASS ČR s.r.o., ve smyslu ustanovení rámcové smlouvy </w:t>
      </w:r>
      <w:r>
        <w:rPr>
          <w:rFonts w:ascii="Arial" w:hAnsi="Arial" w:cs="Arial"/>
          <w:sz w:val="22"/>
          <w:szCs w:val="22"/>
        </w:rPr>
        <w:t xml:space="preserve">                   </w:t>
      </w:r>
      <w:r w:rsidRPr="0046435F">
        <w:rPr>
          <w:rFonts w:ascii="Arial" w:hAnsi="Arial" w:cs="Arial"/>
          <w:sz w:val="22"/>
          <w:szCs w:val="22"/>
        </w:rPr>
        <w:t xml:space="preserve">o Hlášení škod.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Pokud byl tedy podán spotřebitelem návrh na mimosoudní řešení spotřebitelského sporu, je třeba postupovat následovně:</w:t>
      </w:r>
    </w:p>
    <w:p w:rsidR="009B6D19" w:rsidRPr="0046435F" w:rsidRDefault="009B6D19" w:rsidP="009B6D19">
      <w:pPr>
        <w:jc w:val="both"/>
        <w:rPr>
          <w:rFonts w:ascii="Arial" w:hAnsi="Arial" w:cs="Arial"/>
          <w:sz w:val="22"/>
          <w:szCs w:val="22"/>
        </w:rPr>
      </w:pPr>
    </w:p>
    <w:p w:rsidR="009B6D19" w:rsidRPr="0046435F" w:rsidRDefault="009B6D19" w:rsidP="009B6D19">
      <w:pPr>
        <w:numPr>
          <w:ilvl w:val="0"/>
          <w:numId w:val="10"/>
        </w:numPr>
        <w:jc w:val="both"/>
        <w:rPr>
          <w:rFonts w:ascii="Arial" w:hAnsi="Arial" w:cs="Arial"/>
          <w:sz w:val="22"/>
          <w:szCs w:val="22"/>
        </w:rPr>
      </w:pPr>
      <w:r w:rsidRPr="0046435F">
        <w:rPr>
          <w:rFonts w:ascii="Arial" w:hAnsi="Arial" w:cs="Arial"/>
          <w:sz w:val="22"/>
          <w:szCs w:val="22"/>
        </w:rPr>
        <w:t xml:space="preserve">Pokud byla škodná událost pojistiteli řádně oznámena pojištěným již před podáním návrhu spotřebitele na zahájení mimosoudního řešení spotřebitelského sporu (dále jen „návrh spotřebitele“), je třeba, aby pojištěný po vyrozumění Českou advokátní komorou o zahájení mimosoudního řešení spotřebitelského sporu (nebo po podání návrhu spotřebitele) bez zbytečného odkladu informoval pojistitele prostřednictvím společnosti WI-ASS ČR s.r.o. </w:t>
      </w:r>
    </w:p>
    <w:p w:rsidR="009B6D19" w:rsidRPr="0046435F" w:rsidRDefault="009B6D19" w:rsidP="009B6D19">
      <w:pPr>
        <w:ind w:left="720"/>
        <w:jc w:val="both"/>
        <w:rPr>
          <w:rFonts w:ascii="Arial" w:hAnsi="Arial" w:cs="Arial"/>
          <w:sz w:val="22"/>
          <w:szCs w:val="22"/>
        </w:rPr>
      </w:pPr>
    </w:p>
    <w:p w:rsidR="009B6D19" w:rsidRPr="0046435F" w:rsidRDefault="009B6D19" w:rsidP="009B6D19">
      <w:pPr>
        <w:ind w:left="720"/>
        <w:jc w:val="both"/>
        <w:rPr>
          <w:rFonts w:ascii="Arial" w:hAnsi="Arial" w:cs="Arial"/>
          <w:sz w:val="22"/>
          <w:szCs w:val="22"/>
        </w:rPr>
      </w:pPr>
      <w:r w:rsidRPr="0046435F">
        <w:rPr>
          <w:rFonts w:ascii="Arial" w:hAnsi="Arial" w:cs="Arial"/>
          <w:sz w:val="22"/>
          <w:szCs w:val="22"/>
        </w:rPr>
        <w:t xml:space="preserve">Výše uvedené oznámení je třeba doplnit zejména o následující podklady: </w:t>
      </w:r>
    </w:p>
    <w:p w:rsidR="009B6D19" w:rsidRPr="0046435F" w:rsidRDefault="009B6D19" w:rsidP="009B6D19">
      <w:pPr>
        <w:numPr>
          <w:ilvl w:val="0"/>
          <w:numId w:val="11"/>
        </w:numPr>
        <w:jc w:val="both"/>
        <w:rPr>
          <w:rFonts w:ascii="Arial" w:hAnsi="Arial" w:cs="Arial"/>
          <w:sz w:val="22"/>
          <w:szCs w:val="22"/>
        </w:rPr>
      </w:pPr>
      <w:r w:rsidRPr="0046435F">
        <w:rPr>
          <w:rFonts w:ascii="Arial" w:hAnsi="Arial" w:cs="Arial"/>
          <w:sz w:val="22"/>
          <w:szCs w:val="22"/>
        </w:rPr>
        <w:t xml:space="preserve">návrh spotřebitele, </w:t>
      </w:r>
    </w:p>
    <w:p w:rsidR="009B6D19" w:rsidRPr="0046435F" w:rsidRDefault="009B6D19" w:rsidP="009B6D19">
      <w:pPr>
        <w:numPr>
          <w:ilvl w:val="0"/>
          <w:numId w:val="11"/>
        </w:numPr>
        <w:jc w:val="both"/>
        <w:rPr>
          <w:rFonts w:ascii="Arial" w:hAnsi="Arial" w:cs="Arial"/>
          <w:sz w:val="22"/>
          <w:szCs w:val="22"/>
        </w:rPr>
      </w:pPr>
      <w:r w:rsidRPr="0046435F">
        <w:rPr>
          <w:rFonts w:ascii="Arial" w:hAnsi="Arial" w:cs="Arial"/>
          <w:sz w:val="22"/>
          <w:szCs w:val="22"/>
        </w:rPr>
        <w:t xml:space="preserve">relevantní podklady k uplatněnému nároku na náhradu škody nebo újmy a návrhu spotřebitele, pokud již nebyly pojistiteli poskytnuty za účelem šetření škodné události dříve, a </w:t>
      </w:r>
    </w:p>
    <w:p w:rsidR="009B6D19" w:rsidRPr="0046435F" w:rsidRDefault="009B6D19" w:rsidP="009B6D19">
      <w:pPr>
        <w:numPr>
          <w:ilvl w:val="0"/>
          <w:numId w:val="11"/>
        </w:numPr>
        <w:jc w:val="both"/>
        <w:rPr>
          <w:rFonts w:ascii="Arial" w:hAnsi="Arial" w:cs="Arial"/>
          <w:sz w:val="22"/>
          <w:szCs w:val="22"/>
        </w:rPr>
      </w:pPr>
      <w:r w:rsidRPr="0046435F">
        <w:rPr>
          <w:rFonts w:ascii="Arial" w:hAnsi="Arial" w:cs="Arial"/>
          <w:sz w:val="22"/>
          <w:szCs w:val="22"/>
        </w:rPr>
        <w:t xml:space="preserve">kopii vyjádření pojištěného ke skutečnostem uvedeným v návrhu zasílaného České advokátní komoře. </w:t>
      </w:r>
    </w:p>
    <w:p w:rsidR="009B6D19" w:rsidRPr="0046435F" w:rsidRDefault="009B6D19" w:rsidP="009B6D19">
      <w:pPr>
        <w:jc w:val="both"/>
        <w:rPr>
          <w:rFonts w:ascii="Arial" w:hAnsi="Arial" w:cs="Arial"/>
          <w:sz w:val="22"/>
          <w:szCs w:val="22"/>
        </w:rPr>
      </w:pPr>
    </w:p>
    <w:p w:rsidR="009B6D19" w:rsidRPr="0046435F" w:rsidRDefault="009B6D19" w:rsidP="009B6D19">
      <w:pPr>
        <w:numPr>
          <w:ilvl w:val="0"/>
          <w:numId w:val="10"/>
        </w:numPr>
        <w:jc w:val="both"/>
        <w:rPr>
          <w:rFonts w:ascii="Arial" w:hAnsi="Arial" w:cs="Arial"/>
          <w:sz w:val="22"/>
          <w:szCs w:val="22"/>
        </w:rPr>
      </w:pPr>
      <w:r w:rsidRPr="0046435F">
        <w:rPr>
          <w:rFonts w:ascii="Arial" w:hAnsi="Arial" w:cs="Arial"/>
          <w:sz w:val="22"/>
          <w:szCs w:val="22"/>
        </w:rPr>
        <w:t>Pokud škodná událost pojistiteli dosud oznámena nebyla, je třeba škodnou událost pojistiteli pojištěným neprodleně řádně oznámit, a to v souladu s rámcovou pojistnou smlouvou. V rámci oznámení škodné události je třeba uvést, že o nároku na náhradu škody nebo újmy bylo zahájeno mimosoudní řešení spotřebitelského sporu (nebo byl podán návrh spotřebitele) a škodnou událost doložit kromě podkladů podle rámcové pojistné smlouvy také výše uvedenými podklady vztahujícími se k mimosoudnímu řešení spotřebitelského sporu.</w:t>
      </w:r>
    </w:p>
    <w:p w:rsidR="009B6D19" w:rsidRPr="0046435F" w:rsidRDefault="009B6D19" w:rsidP="009B6D19">
      <w:pPr>
        <w:ind w:left="720"/>
        <w:jc w:val="both"/>
        <w:rPr>
          <w:rFonts w:ascii="Arial" w:hAnsi="Arial" w:cs="Arial"/>
          <w:sz w:val="22"/>
          <w:szCs w:val="22"/>
        </w:rPr>
      </w:pPr>
    </w:p>
    <w:p w:rsidR="009B6D19" w:rsidRPr="0046435F" w:rsidRDefault="009B6D19" w:rsidP="009B6D19">
      <w:pPr>
        <w:ind w:left="720"/>
        <w:jc w:val="both"/>
        <w:rPr>
          <w:rFonts w:ascii="Arial" w:hAnsi="Arial" w:cs="Arial"/>
          <w:sz w:val="22"/>
          <w:szCs w:val="22"/>
        </w:rPr>
      </w:pPr>
      <w:r w:rsidRPr="0046435F">
        <w:rPr>
          <w:rFonts w:ascii="Arial" w:hAnsi="Arial" w:cs="Arial"/>
          <w:sz w:val="22"/>
          <w:szCs w:val="22"/>
        </w:rPr>
        <w:t xml:space="preserve">Vznik škody nebo jiné újmy pojištěný nahlásí elektronicky s uznávaným elektronickým podpisem na e-mail likvidace@wiass.cz nebo písemně na adresu WI-ASS ČR s.r.o., Na Florenci 15, 110 00 Praha 1. Osnova a formuláře potřebné pro nahlášení škodné události jsou uvedeny na </w:t>
      </w:r>
      <w:hyperlink r:id="rId5" w:history="1">
        <w:r w:rsidRPr="0046435F">
          <w:rPr>
            <w:rStyle w:val="Hypertextovodkaz"/>
            <w:rFonts w:ascii="Arial" w:hAnsi="Arial" w:cs="Arial"/>
            <w:sz w:val="22"/>
            <w:szCs w:val="22"/>
          </w:rPr>
          <w:t>www.wiass.cz</w:t>
        </w:r>
      </w:hyperlink>
      <w:r w:rsidRPr="0046435F">
        <w:rPr>
          <w:rFonts w:ascii="Arial" w:hAnsi="Arial" w:cs="Arial"/>
          <w:sz w:val="22"/>
          <w:szCs w:val="22"/>
        </w:rPr>
        <w:t xml:space="preserve"> nebo budou na vyžádání na výše uvedených kontaktech zaslány pojištěnému. Pojistná smlouva pak detailněji upravuje, co musí obsahovat oznámení škodné události.  </w:t>
      </w:r>
    </w:p>
    <w:p w:rsidR="009B6D19" w:rsidRDefault="009B6D19" w:rsidP="009B6D19">
      <w:pPr>
        <w:jc w:val="both"/>
        <w:rPr>
          <w:rFonts w:ascii="Arial" w:hAnsi="Arial" w:cs="Arial"/>
          <w:sz w:val="22"/>
          <w:szCs w:val="22"/>
        </w:rPr>
      </w:pPr>
    </w:p>
    <w:p w:rsidR="009B6D19" w:rsidRPr="00D65EA4" w:rsidRDefault="009B6D19" w:rsidP="009B6D19">
      <w:pPr>
        <w:numPr>
          <w:ilvl w:val="0"/>
          <w:numId w:val="12"/>
        </w:numPr>
        <w:jc w:val="both"/>
        <w:rPr>
          <w:rFonts w:ascii="Arial" w:hAnsi="Arial" w:cs="Arial"/>
          <w:b/>
          <w:sz w:val="22"/>
          <w:szCs w:val="22"/>
        </w:rPr>
      </w:pPr>
      <w:r w:rsidRPr="00D65EA4">
        <w:rPr>
          <w:rFonts w:ascii="Arial" w:hAnsi="Arial" w:cs="Arial"/>
          <w:b/>
          <w:sz w:val="22"/>
          <w:szCs w:val="22"/>
        </w:rPr>
        <w:t xml:space="preserve">Postup pojištěného při mimosoudním řešení spotřebitelského sporu </w:t>
      </w:r>
    </w:p>
    <w:p w:rsidR="009B6D19"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Mimosoudní řešení spotřebitelského sporu končí podle Čl. VIII Pravidel pro postup pověřeného subjektu (České advokátní komory) při mimosoudním řešení spotřebitelských sporů kromě jiných způsobů uzavřením dohody stran sporu.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Ve vztahu k pojištění je třeba upozornit, že podle oddílu E, části II, odst. 5, písm. e) rámcové pojistné smlouvy č. 2904309313 o profesním pojištění advokátů uzavřené Českou advokátní komorou s Generali Pojišťovna a.s. není pojištěný oprávněn k tomu, aby bez předchozího souhlasu pojistitele zcela nebo z části uznal nebo vyrovnal nárok na náhradu škody nebo újmy. Pokud tuto povinnost pojištěný poruší, pojistitel není jeho uznáním závazku k náhradě škody nebo újmy vázán při rozhodování o poskytnutí pojistného plnění.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Podle písm. f) téhož odstavce pojistné smlouvy pak uznání nároku klienta bez vědomí pojistitele, soudní smír, či dohoda o mimosoudním jednání uzavřené mezi pojištěným a klientem bez vědomí pojistitele je důvodem pro zamítnutí pojistného plnění, resp. pro snížení pojistného plnění.</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Uzavřít dohodu je tedy pojištěný oprávněn pouze tehdy, pokud mu byl k takovému postupu udělen předem souhlas pojistitele. Pokud pojistitel takový souhlas předem neudělí, není pojištěný oprávněn dohodu uzavřít, resp. uzavření dohody bude mít z hlediska pojištění následky uvedené v rámcové pojistné smlouvě.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Pokud je pojištěnému pojistitelem dán souhlas k uzavření dohody, je třeba, aby v dohodě byly respektovány pokyny pojistitele, a to jak z hlediska jejího obsahu, tak z hlediska splatnosti. Ve vztahu k pojistnému plnění je pak třeba upozornit na spoluúčast pojištěného na pojistné události, která bude v pojistném plnění zohledněna.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Pokud pojistitel souhlasí s uzavřením dohody, dává tento souhlas zásadně písemně, a to zpravidla před ústním jednáním. Pokud není udělení souhlasu pojistitele pojištěnému písemně před ústním jednáním možné a pojistitel zejména s ohledem na průběh ústního jednání s uzavřením dohody souhlasí, sdělí souhlas pojistitele s uzavřením dohody v rámci ústního jednání a souhlas pojistitele bude zaznamenán v závěrečné písemné dohodě mezi advokátem, spotřebitelem a pojistitelem.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Pokud se jedná o účast pojistitele na ústním jednání před Českou advokátní komorou </w:t>
      </w:r>
      <w:r>
        <w:rPr>
          <w:rFonts w:ascii="Arial" w:hAnsi="Arial" w:cs="Arial"/>
          <w:sz w:val="22"/>
          <w:szCs w:val="22"/>
        </w:rPr>
        <w:t xml:space="preserve">                     </w:t>
      </w:r>
      <w:r w:rsidRPr="0046435F">
        <w:rPr>
          <w:rFonts w:ascii="Arial" w:hAnsi="Arial" w:cs="Arial"/>
          <w:sz w:val="22"/>
          <w:szCs w:val="22"/>
        </w:rPr>
        <w:t xml:space="preserve">při mimosoudním řešení spotřebitelského sporu, pojistitel se s ohledem na Čl. V. písm. b) Pravidel pro postup pověřeného subjektu (České advokátní komory) při mimosoudním řešení spotřebitelských sporů může účastnit ústního jednání před Českou advokátní komorou. O termínu ústního jednání je pojistitele povinen informovat pojištěný, a to bez zbytečného dokladu poté, kdy se o termínu dozvěděl.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S ohledem na povinnost mlčenlivosti danou pojistiteli zákonem o pojišťovnictví, která není pro tento případ výslovně prolomena, je třeba, aby pojištěný pojistitele pro toto řízení zprostil povinnosti mlčenlivosti. </w:t>
      </w:r>
    </w:p>
    <w:p w:rsidR="009B6D19" w:rsidRPr="0046435F" w:rsidRDefault="009B6D19" w:rsidP="009B6D19">
      <w:pPr>
        <w:jc w:val="both"/>
        <w:rPr>
          <w:rFonts w:ascii="Arial" w:hAnsi="Arial" w:cs="Arial"/>
          <w:sz w:val="22"/>
          <w:szCs w:val="22"/>
        </w:rPr>
      </w:pPr>
    </w:p>
    <w:p w:rsidR="009B6D19" w:rsidRPr="0046435F" w:rsidRDefault="009B6D19" w:rsidP="009B6D19">
      <w:pPr>
        <w:jc w:val="both"/>
        <w:rPr>
          <w:rFonts w:ascii="Arial" w:hAnsi="Arial" w:cs="Arial"/>
          <w:sz w:val="22"/>
          <w:szCs w:val="22"/>
        </w:rPr>
      </w:pPr>
      <w:r w:rsidRPr="0046435F">
        <w:rPr>
          <w:rFonts w:ascii="Arial" w:hAnsi="Arial" w:cs="Arial"/>
          <w:sz w:val="22"/>
          <w:szCs w:val="22"/>
        </w:rPr>
        <w:t xml:space="preserve">Pojistitel není v řízení před Českou advokátní komorou zástupcem pojištěného, nicméně </w:t>
      </w:r>
      <w:r>
        <w:rPr>
          <w:rFonts w:ascii="Arial" w:hAnsi="Arial" w:cs="Arial"/>
          <w:sz w:val="22"/>
          <w:szCs w:val="22"/>
        </w:rPr>
        <w:t xml:space="preserve">               </w:t>
      </w:r>
      <w:r w:rsidRPr="0046435F">
        <w:rPr>
          <w:rFonts w:ascii="Arial" w:hAnsi="Arial" w:cs="Arial"/>
          <w:sz w:val="22"/>
          <w:szCs w:val="22"/>
        </w:rPr>
        <w:t>na věci má právní zájem a může být v tomto řízení vedlejším účastníkem.</w:t>
      </w:r>
    </w:p>
    <w:p w:rsidR="009B6D19" w:rsidRPr="0046435F" w:rsidRDefault="009B6D19" w:rsidP="009B6D19">
      <w:pPr>
        <w:jc w:val="both"/>
        <w:rPr>
          <w:rFonts w:ascii="Arial" w:hAnsi="Arial" w:cs="Arial"/>
          <w:sz w:val="22"/>
          <w:szCs w:val="22"/>
        </w:rPr>
      </w:pPr>
      <w:r w:rsidRPr="0046435F">
        <w:rPr>
          <w:rFonts w:ascii="Arial" w:hAnsi="Arial" w:cs="Arial"/>
          <w:sz w:val="22"/>
          <w:szCs w:val="22"/>
        </w:rPr>
        <w:t>Výše uvedené platí ve vztahu k pojištění obdobně i pro mimosoudní řešení spotřebitelských sporů i před jiným pověřeným subjektem.</w:t>
      </w:r>
    </w:p>
    <w:p w:rsidR="009B6D19" w:rsidRPr="0046435F" w:rsidRDefault="009B6D19" w:rsidP="009B6D19">
      <w:pPr>
        <w:jc w:val="both"/>
        <w:rPr>
          <w:rFonts w:ascii="Arial" w:hAnsi="Arial" w:cs="Arial"/>
          <w:sz w:val="22"/>
          <w:szCs w:val="22"/>
        </w:rPr>
      </w:pPr>
    </w:p>
    <w:p w:rsidR="009B6D19" w:rsidRPr="0046435F" w:rsidRDefault="009B6D19" w:rsidP="009B6D19">
      <w:pPr>
        <w:jc w:val="both"/>
      </w:pPr>
    </w:p>
    <w:p w:rsidR="008524B9" w:rsidRDefault="008524B9">
      <w:bookmarkStart w:id="0" w:name="_GoBack"/>
      <w:bookmarkEnd w:id="0"/>
    </w:p>
    <w:sectPr w:rsidR="00852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8ECE7A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95EAA3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3"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 w15:restartNumberingAfterBreak="0">
    <w:nsid w:val="29560428"/>
    <w:multiLevelType w:val="multilevel"/>
    <w:tmpl w:val="E7CC3C2E"/>
    <w:lvl w:ilvl="0">
      <w:start w:val="1"/>
      <w:numFmt w:val="decimal"/>
      <w:pStyle w:val="Nadpis1"/>
      <w:suff w:val="space"/>
      <w:lvlText w:val="%1. "/>
      <w:lvlJc w:val="left"/>
      <w:pPr>
        <w:ind w:left="432" w:hanging="432"/>
      </w:pPr>
      <w:rPr>
        <w:rFonts w:hint="default"/>
      </w:rPr>
    </w:lvl>
    <w:lvl w:ilvl="1">
      <w:start w:val="1"/>
      <w:numFmt w:val="decimal"/>
      <w:pStyle w:val="Nadpis2"/>
      <w:suff w:val="space"/>
      <w:lvlText w:val="%1.%2 "/>
      <w:lvlJc w:val="left"/>
      <w:pPr>
        <w:ind w:left="576" w:hanging="576"/>
      </w:pPr>
      <w:rPr>
        <w:rFonts w:hint="default"/>
      </w:rPr>
    </w:lvl>
    <w:lvl w:ilvl="2">
      <w:start w:val="1"/>
      <w:numFmt w:val="decimal"/>
      <w:pStyle w:val="Nadpis3"/>
      <w:suff w:val="space"/>
      <w:lvlText w:val="%1.%2.%3 "/>
      <w:lvlJc w:val="left"/>
      <w:pPr>
        <w:ind w:left="720" w:hanging="720"/>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5" w15:restartNumberingAfterBreak="0">
    <w:nsid w:val="33C4349F"/>
    <w:multiLevelType w:val="hybridMultilevel"/>
    <w:tmpl w:val="1ACA1F96"/>
    <w:lvl w:ilvl="0" w:tplc="BF443A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573660"/>
    <w:multiLevelType w:val="hybridMultilevel"/>
    <w:tmpl w:val="9D5C5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A506FF"/>
    <w:multiLevelType w:val="hybridMultilevel"/>
    <w:tmpl w:val="C3B481AC"/>
    <w:lvl w:ilvl="0" w:tplc="4770E166">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4"/>
  </w:num>
  <w:num w:numId="4">
    <w:abstractNumId w:val="4"/>
  </w:num>
  <w:num w:numId="5">
    <w:abstractNumId w:val="4"/>
  </w:num>
  <w:num w:numId="6">
    <w:abstractNumId w:val="0"/>
  </w:num>
  <w:num w:numId="7">
    <w:abstractNumId w:val="3"/>
  </w:num>
  <w:num w:numId="8">
    <w:abstractNumId w:val="2"/>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F51D8"/>
    <w:rsid w:val="00003285"/>
    <w:rsid w:val="000E365F"/>
    <w:rsid w:val="000F6949"/>
    <w:rsid w:val="0015110A"/>
    <w:rsid w:val="001A6F0E"/>
    <w:rsid w:val="00256F10"/>
    <w:rsid w:val="002776E5"/>
    <w:rsid w:val="00283ECD"/>
    <w:rsid w:val="00317016"/>
    <w:rsid w:val="003B17E5"/>
    <w:rsid w:val="003D4888"/>
    <w:rsid w:val="004340BD"/>
    <w:rsid w:val="00497D94"/>
    <w:rsid w:val="004A5503"/>
    <w:rsid w:val="00531461"/>
    <w:rsid w:val="005F74B3"/>
    <w:rsid w:val="006B399C"/>
    <w:rsid w:val="006E55E7"/>
    <w:rsid w:val="00716DF9"/>
    <w:rsid w:val="007428B0"/>
    <w:rsid w:val="007A5B0F"/>
    <w:rsid w:val="007D4C11"/>
    <w:rsid w:val="008524B9"/>
    <w:rsid w:val="008D759F"/>
    <w:rsid w:val="008F57E7"/>
    <w:rsid w:val="008F61AF"/>
    <w:rsid w:val="008F79D1"/>
    <w:rsid w:val="009B6D19"/>
    <w:rsid w:val="00A3678A"/>
    <w:rsid w:val="00A43AD8"/>
    <w:rsid w:val="00B538D3"/>
    <w:rsid w:val="00BC3F1E"/>
    <w:rsid w:val="00C96950"/>
    <w:rsid w:val="00D36C10"/>
    <w:rsid w:val="00D7148D"/>
    <w:rsid w:val="00DD609B"/>
    <w:rsid w:val="00DF51D8"/>
    <w:rsid w:val="00F200B0"/>
    <w:rsid w:val="00F46B2F"/>
    <w:rsid w:val="00F845C2"/>
    <w:rsid w:val="00FD2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26C63-82AB-4FE1-81B2-4F83295A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B6D19"/>
    <w:rPr>
      <w:sz w:val="24"/>
      <w:szCs w:val="24"/>
    </w:rPr>
  </w:style>
  <w:style w:type="paragraph" w:styleId="Nadpis1">
    <w:name w:val="heading 1"/>
    <w:basedOn w:val="Normln"/>
    <w:next w:val="Normln"/>
    <w:qFormat/>
    <w:rsid w:val="008524B9"/>
    <w:pPr>
      <w:widowControl w:val="0"/>
      <w:numPr>
        <w:numId w:val="5"/>
      </w:numPr>
      <w:spacing w:after="220"/>
      <w:outlineLvl w:val="0"/>
    </w:pPr>
    <w:rPr>
      <w:rFonts w:cs="Arial"/>
      <w:b/>
      <w:noProof/>
      <w:color w:val="283164"/>
      <w:sz w:val="32"/>
      <w:szCs w:val="20"/>
    </w:rPr>
  </w:style>
  <w:style w:type="paragraph" w:styleId="Nadpis2">
    <w:name w:val="heading 2"/>
    <w:basedOn w:val="Normln"/>
    <w:next w:val="Normln"/>
    <w:qFormat/>
    <w:rsid w:val="008524B9"/>
    <w:pPr>
      <w:widowControl w:val="0"/>
      <w:numPr>
        <w:ilvl w:val="1"/>
        <w:numId w:val="5"/>
      </w:numPr>
      <w:spacing w:before="220" w:after="220"/>
      <w:outlineLvl w:val="1"/>
    </w:pPr>
    <w:rPr>
      <w:b/>
      <w:color w:val="283164"/>
      <w:sz w:val="28"/>
      <w:szCs w:val="20"/>
    </w:rPr>
  </w:style>
  <w:style w:type="paragraph" w:styleId="Nadpis3">
    <w:name w:val="heading 3"/>
    <w:basedOn w:val="Normln"/>
    <w:next w:val="Normln"/>
    <w:qFormat/>
    <w:rsid w:val="008524B9"/>
    <w:pPr>
      <w:keepNext/>
      <w:numPr>
        <w:ilvl w:val="2"/>
        <w:numId w:val="5"/>
      </w:numPr>
      <w:spacing w:before="220" w:after="220"/>
      <w:outlineLvl w:val="2"/>
    </w:pPr>
    <w:rPr>
      <w:b/>
      <w:color w:val="28316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rsid w:val="008524B9"/>
    <w:pPr>
      <w:numPr>
        <w:numId w:val="2"/>
      </w:numPr>
    </w:pPr>
  </w:style>
  <w:style w:type="paragraph" w:styleId="Nzev">
    <w:name w:val="Title"/>
    <w:basedOn w:val="Normln"/>
    <w:next w:val="Normln"/>
    <w:qFormat/>
    <w:rsid w:val="008524B9"/>
    <w:pPr>
      <w:spacing w:before="120"/>
      <w:jc w:val="center"/>
    </w:pPr>
    <w:rPr>
      <w:b/>
      <w:color w:val="283164"/>
      <w:sz w:val="32"/>
      <w:szCs w:val="28"/>
    </w:rPr>
  </w:style>
  <w:style w:type="paragraph" w:styleId="slovanseznam2">
    <w:name w:val="List Number 2"/>
    <w:basedOn w:val="Normln"/>
    <w:rsid w:val="008524B9"/>
    <w:pPr>
      <w:numPr>
        <w:ilvl w:val="1"/>
        <w:numId w:val="7"/>
      </w:numPr>
    </w:pPr>
  </w:style>
  <w:style w:type="paragraph" w:styleId="Seznamsodrkami">
    <w:name w:val="List Bullet"/>
    <w:basedOn w:val="Normln"/>
    <w:rsid w:val="008524B9"/>
    <w:pPr>
      <w:numPr>
        <w:numId w:val="9"/>
      </w:numPr>
    </w:pPr>
  </w:style>
  <w:style w:type="character" w:styleId="Hypertextovodkaz">
    <w:name w:val="Hyperlink"/>
    <w:rsid w:val="009B6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as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5289</Characters>
  <Application>Microsoft Office Word</Application>
  <DocSecurity>0</DocSecurity>
  <Lines>44</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Turek Zdeněk</dc:creator>
  <cp:keywords/>
  <dc:description/>
  <cp:lastModifiedBy>Turek Zdeněk</cp:lastModifiedBy>
  <cp:revision>2</cp:revision>
  <dcterms:created xsi:type="dcterms:W3CDTF">2017-08-31T17:09:00Z</dcterms:created>
  <dcterms:modified xsi:type="dcterms:W3CDTF">2017-08-31T17:10:00Z</dcterms:modified>
</cp:coreProperties>
</file>